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3A0F" w14:textId="77777777" w:rsidR="00316B49" w:rsidRDefault="00316B49"/>
    <w:p w14:paraId="3DA63ACD" w14:textId="77777777" w:rsidR="00316B49" w:rsidRDefault="00316B49"/>
    <w:p w14:paraId="2D2A8CC9" w14:textId="77777777" w:rsidR="00316B49" w:rsidRDefault="00316B49"/>
    <w:p w14:paraId="5467CB57" w14:textId="77777777" w:rsidR="00316B49" w:rsidRDefault="00316B49"/>
    <w:p w14:paraId="2CF0BE05" w14:textId="77777777" w:rsidR="00316B49" w:rsidRDefault="00316B49"/>
    <w:p w14:paraId="2AB6917F" w14:textId="77777777" w:rsidR="00316B49" w:rsidRDefault="00316B49"/>
    <w:p w14:paraId="30CB0DD8" w14:textId="77777777" w:rsidR="00316B49" w:rsidRDefault="00316B49"/>
    <w:p w14:paraId="78DEE325" w14:textId="77777777" w:rsidR="00316B49" w:rsidRDefault="00316B49"/>
    <w:p w14:paraId="5D008011" w14:textId="77777777" w:rsidR="00BA36F4" w:rsidRDefault="00BA36F4"/>
    <w:p w14:paraId="773DF958" w14:textId="77777777" w:rsidR="00BA36F4" w:rsidRDefault="00BA36F4"/>
    <w:p w14:paraId="19BCEDD1" w14:textId="5047A816" w:rsidR="00316B49" w:rsidRDefault="00BA36F4" w:rsidP="00BA36F4">
      <w:pPr>
        <w:jc w:val="center"/>
      </w:pPr>
      <w:r>
        <w:rPr>
          <w:noProof/>
          <w:lang w:val="en-US"/>
        </w:rPr>
        <w:drawing>
          <wp:inline distT="0" distB="0" distL="0" distR="0" wp14:anchorId="47B1F162" wp14:editId="2DE22161">
            <wp:extent cx="1675465" cy="1119132"/>
            <wp:effectExtent l="0" t="0" r="1270" b="0"/>
            <wp:docPr id="2" name="Picture 2" descr="Macintosh HD:Users:jamesduminy:Library:Mail:V2:IMAP-jamesduminy@imap.gmail.com:[Gmail].mbox:All Mail.mbox:068295D5-6DE0-48E2-8AE9-E88B22B2B706:Data:8:3:Attachments:38453:4:A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duminy:Library:Mail:V2:IMAP-jamesduminy@imap.gmail.com:[Gmail].mbox:All Mail.mbox:068295D5-6DE0-48E2-8AE9-E88B22B2B706:Data:8:3:Attachments:38453:4:AAP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238" cy="1120316"/>
                    </a:xfrm>
                    <a:prstGeom prst="rect">
                      <a:avLst/>
                    </a:prstGeom>
                    <a:noFill/>
                    <a:ln>
                      <a:noFill/>
                    </a:ln>
                  </pic:spPr>
                </pic:pic>
              </a:graphicData>
            </a:graphic>
          </wp:inline>
        </w:drawing>
      </w:r>
      <w:r>
        <w:t xml:space="preserve">         </w:t>
      </w:r>
      <w:r>
        <w:rPr>
          <w:noProof/>
          <w:lang w:val="en-US"/>
        </w:rPr>
        <w:drawing>
          <wp:inline distT="0" distB="0" distL="0" distR="0" wp14:anchorId="7A3F1368" wp14:editId="1D6FCB41">
            <wp:extent cx="2673985" cy="1196926"/>
            <wp:effectExtent l="0" t="0" r="0" b="0"/>
            <wp:docPr id="1" name="Picture 1" descr="Macintosh HD:Users:jamesduminy:Documents:AAPS:AAPS-SDI Collaboration:Studios report:s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uminy:Documents:AAPS:AAPS-SDI Collaboration:Studios report:s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436" cy="1197128"/>
                    </a:xfrm>
                    <a:prstGeom prst="rect">
                      <a:avLst/>
                    </a:prstGeom>
                    <a:noFill/>
                    <a:ln>
                      <a:noFill/>
                    </a:ln>
                  </pic:spPr>
                </pic:pic>
              </a:graphicData>
            </a:graphic>
          </wp:inline>
        </w:drawing>
      </w:r>
    </w:p>
    <w:p w14:paraId="7FFC29A3" w14:textId="77777777" w:rsidR="00316B49" w:rsidRDefault="00316B49"/>
    <w:p w14:paraId="07D653B2" w14:textId="77777777" w:rsidR="00316B49" w:rsidRDefault="00316B49"/>
    <w:p w14:paraId="609A638F" w14:textId="77777777" w:rsidR="00316B49" w:rsidRDefault="00316B49"/>
    <w:p w14:paraId="1F764A07" w14:textId="1E4AADFF" w:rsidR="00316B49" w:rsidRPr="00BA36F4" w:rsidRDefault="00BA36F4" w:rsidP="00BA36F4">
      <w:pPr>
        <w:pStyle w:val="Heading1"/>
        <w:jc w:val="center"/>
        <w:rPr>
          <w:color w:val="C0504D" w:themeColor="accent2"/>
        </w:rPr>
      </w:pPr>
      <w:bookmarkStart w:id="0" w:name="_Toc271363661"/>
      <w:r w:rsidRPr="00BA36F4">
        <w:rPr>
          <w:color w:val="C0504D" w:themeColor="accent2"/>
        </w:rPr>
        <w:t>AAPS-SDI</w:t>
      </w:r>
      <w:r>
        <w:rPr>
          <w:color w:val="C0504D" w:themeColor="accent2"/>
        </w:rPr>
        <w:t xml:space="preserve"> COLLABORATIVE</w:t>
      </w:r>
      <w:r w:rsidRPr="00BA36F4">
        <w:rPr>
          <w:color w:val="C0504D" w:themeColor="accent2"/>
        </w:rPr>
        <w:t xml:space="preserve"> STUDIO SERIES</w:t>
      </w:r>
      <w:bookmarkEnd w:id="0"/>
    </w:p>
    <w:p w14:paraId="31A3D4FA" w14:textId="247413E5" w:rsidR="00316B49" w:rsidRPr="00BA36F4" w:rsidRDefault="00BA36F4" w:rsidP="00BA36F4">
      <w:pPr>
        <w:pStyle w:val="Heading1"/>
        <w:jc w:val="center"/>
        <w:rPr>
          <w:color w:val="C0504D" w:themeColor="accent2"/>
          <w:sz w:val="24"/>
        </w:rPr>
      </w:pPr>
      <w:bookmarkStart w:id="1" w:name="_Toc271363662"/>
      <w:r w:rsidRPr="00BA36F4">
        <w:rPr>
          <w:color w:val="C0504D" w:themeColor="accent2"/>
          <w:sz w:val="24"/>
        </w:rPr>
        <w:t>201</w:t>
      </w:r>
      <w:r w:rsidR="00845FC0">
        <w:rPr>
          <w:color w:val="C0504D" w:themeColor="accent2"/>
          <w:sz w:val="24"/>
        </w:rPr>
        <w:t>1</w:t>
      </w:r>
      <w:r w:rsidRPr="00BA36F4">
        <w:rPr>
          <w:color w:val="C0504D" w:themeColor="accent2"/>
          <w:sz w:val="24"/>
        </w:rPr>
        <w:t xml:space="preserve"> – 2013</w:t>
      </w:r>
      <w:bookmarkEnd w:id="1"/>
    </w:p>
    <w:p w14:paraId="0B8CDEED" w14:textId="77777777" w:rsidR="00316B49" w:rsidRDefault="00316B49"/>
    <w:p w14:paraId="7E0AC2F7" w14:textId="77777777" w:rsidR="00316B49" w:rsidRDefault="00316B49"/>
    <w:p w14:paraId="7DE67443" w14:textId="77777777" w:rsidR="00316B49" w:rsidRDefault="00316B49"/>
    <w:p w14:paraId="0D073C55" w14:textId="77777777" w:rsidR="00316B49" w:rsidRDefault="00316B49"/>
    <w:p w14:paraId="0CB25748" w14:textId="77777777" w:rsidR="00316B49" w:rsidRDefault="00316B49"/>
    <w:p w14:paraId="2DEE8895" w14:textId="77777777" w:rsidR="00316B49" w:rsidRDefault="00316B49" w:rsidP="0027611B">
      <w:pPr>
        <w:pStyle w:val="Heading1"/>
        <w:jc w:val="center"/>
      </w:pPr>
      <w:bookmarkStart w:id="2" w:name="_Toc271292229"/>
      <w:bookmarkStart w:id="3" w:name="_Toc271294240"/>
      <w:bookmarkStart w:id="4" w:name="_Toc271363663"/>
      <w:r>
        <w:t>Project Report</w:t>
      </w:r>
      <w:bookmarkEnd w:id="2"/>
      <w:bookmarkEnd w:id="3"/>
      <w:bookmarkEnd w:id="4"/>
    </w:p>
    <w:p w14:paraId="49FAB3C6" w14:textId="32FA95AC" w:rsidR="00316B49" w:rsidRDefault="00316B49" w:rsidP="0027611B">
      <w:pPr>
        <w:pStyle w:val="Heading2"/>
        <w:jc w:val="center"/>
      </w:pPr>
      <w:bookmarkStart w:id="5" w:name="_Toc271292230"/>
      <w:bookmarkStart w:id="6" w:name="_Toc271294241"/>
      <w:bookmarkStart w:id="7" w:name="_Toc271363664"/>
      <w:r>
        <w:t>Guidelines, Opportunities and Challenges of Community-Based Studio Teaching</w:t>
      </w:r>
      <w:bookmarkEnd w:id="5"/>
      <w:bookmarkEnd w:id="6"/>
      <w:bookmarkEnd w:id="7"/>
    </w:p>
    <w:p w14:paraId="0343FFA4" w14:textId="77777777" w:rsidR="00316B49" w:rsidRDefault="00316B49"/>
    <w:p w14:paraId="524CA8C9" w14:textId="77777777" w:rsidR="00316B49" w:rsidRDefault="00316B49"/>
    <w:p w14:paraId="61F3F92D" w14:textId="77777777" w:rsidR="00316B49" w:rsidRDefault="00316B49"/>
    <w:p w14:paraId="1C0A0F5B" w14:textId="77777777" w:rsidR="00316B49" w:rsidRDefault="00316B49"/>
    <w:p w14:paraId="48FBC6E9" w14:textId="77777777" w:rsidR="00316B49" w:rsidRDefault="00316B49"/>
    <w:p w14:paraId="62B2E7E1" w14:textId="5E462EA9" w:rsidR="00316B49" w:rsidRDefault="00316B49">
      <w:r>
        <w:t xml:space="preserve">Association of </w:t>
      </w:r>
      <w:proofErr w:type="gramStart"/>
      <w:r>
        <w:t>African Planning Schools</w:t>
      </w:r>
      <w:proofErr w:type="gramEnd"/>
      <w:r>
        <w:t xml:space="preserve"> secretariat</w:t>
      </w:r>
    </w:p>
    <w:p w14:paraId="3FDE204A" w14:textId="47899CDC" w:rsidR="00316B49" w:rsidRDefault="00316B49">
      <w:r>
        <w:t>African Centre for Cities</w:t>
      </w:r>
    </w:p>
    <w:p w14:paraId="4578E2DC" w14:textId="77777777" w:rsidR="00316B49" w:rsidRDefault="00316B49">
      <w:r>
        <w:t>University of Cape Town</w:t>
      </w:r>
    </w:p>
    <w:p w14:paraId="2FE63188" w14:textId="77777777" w:rsidR="00316B49" w:rsidRDefault="00316B49">
      <w:r>
        <w:t>Rondebosch</w:t>
      </w:r>
    </w:p>
    <w:p w14:paraId="55982760" w14:textId="77777777" w:rsidR="00316B49" w:rsidRDefault="00316B49">
      <w:r>
        <w:t>South Africa</w:t>
      </w:r>
    </w:p>
    <w:p w14:paraId="38098011" w14:textId="517AEF83" w:rsidR="00316B49" w:rsidRDefault="006D593F">
      <w:hyperlink r:id="rId11" w:history="1">
        <w:r w:rsidR="00316B49" w:rsidRPr="00122653">
          <w:rPr>
            <w:rStyle w:val="Hyperlink"/>
          </w:rPr>
          <w:t>jwa.duminy@uct.ac.za</w:t>
        </w:r>
      </w:hyperlink>
    </w:p>
    <w:p w14:paraId="3C20B4BA" w14:textId="77777777" w:rsidR="00316B49" w:rsidRDefault="00316B49">
      <w:r>
        <w:br w:type="page"/>
      </w:r>
    </w:p>
    <w:p w14:paraId="65324CF8" w14:textId="149B1036" w:rsidR="0027611B" w:rsidRDefault="00316B49" w:rsidP="005B3C34">
      <w:pPr>
        <w:pStyle w:val="Heading1"/>
      </w:pPr>
      <w:bookmarkStart w:id="8" w:name="_Toc271292231"/>
      <w:bookmarkStart w:id="9" w:name="_Toc271294242"/>
      <w:bookmarkStart w:id="10" w:name="_Toc271363665"/>
      <w:r>
        <w:lastRenderedPageBreak/>
        <w:t>Table of Contents</w:t>
      </w:r>
      <w:bookmarkEnd w:id="8"/>
      <w:bookmarkEnd w:id="9"/>
      <w:bookmarkEnd w:id="10"/>
    </w:p>
    <w:p w14:paraId="7950D9DF" w14:textId="15F7D8F1" w:rsidR="00914FA3" w:rsidRDefault="005B3C34">
      <w:pPr>
        <w:pStyle w:val="TOC1"/>
        <w:tabs>
          <w:tab w:val="right" w:leader="dot" w:pos="8290"/>
        </w:tabs>
        <w:rPr>
          <w:b w:val="0"/>
          <w:noProof/>
          <w:lang w:val="en-US" w:eastAsia="ja-JP"/>
        </w:rPr>
      </w:pPr>
      <w:r>
        <w:fldChar w:fldCharType="begin"/>
      </w:r>
      <w:r>
        <w:instrText xml:space="preserve"> TOC \o "1-3" </w:instrText>
      </w:r>
      <w:r>
        <w:fldChar w:fldCharType="separate"/>
      </w:r>
    </w:p>
    <w:p w14:paraId="2DC32790" w14:textId="77777777" w:rsidR="00914FA3" w:rsidRDefault="00914FA3">
      <w:pPr>
        <w:pStyle w:val="TOC1"/>
        <w:tabs>
          <w:tab w:val="left" w:pos="438"/>
          <w:tab w:val="right" w:leader="dot" w:pos="8290"/>
        </w:tabs>
        <w:rPr>
          <w:b w:val="0"/>
          <w:noProof/>
          <w:lang w:val="en-US" w:eastAsia="ja-JP"/>
        </w:rPr>
      </w:pPr>
      <w:r>
        <w:rPr>
          <w:noProof/>
        </w:rPr>
        <w:t>1.</w:t>
      </w:r>
      <w:r>
        <w:rPr>
          <w:b w:val="0"/>
          <w:noProof/>
          <w:lang w:val="en-US" w:eastAsia="ja-JP"/>
        </w:rPr>
        <w:tab/>
      </w:r>
      <w:r>
        <w:rPr>
          <w:noProof/>
        </w:rPr>
        <w:t>Introduction</w:t>
      </w:r>
      <w:r>
        <w:rPr>
          <w:noProof/>
        </w:rPr>
        <w:tab/>
      </w:r>
      <w:r>
        <w:rPr>
          <w:noProof/>
        </w:rPr>
        <w:fldChar w:fldCharType="begin"/>
      </w:r>
      <w:r>
        <w:rPr>
          <w:noProof/>
        </w:rPr>
        <w:instrText xml:space="preserve"> PAGEREF _Toc271363666 \h </w:instrText>
      </w:r>
      <w:r>
        <w:rPr>
          <w:noProof/>
        </w:rPr>
      </w:r>
      <w:r>
        <w:rPr>
          <w:noProof/>
        </w:rPr>
        <w:fldChar w:fldCharType="separate"/>
      </w:r>
      <w:r>
        <w:rPr>
          <w:noProof/>
        </w:rPr>
        <w:t>1</w:t>
      </w:r>
      <w:r>
        <w:rPr>
          <w:noProof/>
        </w:rPr>
        <w:fldChar w:fldCharType="end"/>
      </w:r>
    </w:p>
    <w:p w14:paraId="32D19A5A" w14:textId="77777777" w:rsidR="00914FA3" w:rsidRDefault="00914FA3">
      <w:pPr>
        <w:pStyle w:val="TOC1"/>
        <w:tabs>
          <w:tab w:val="left" w:pos="438"/>
          <w:tab w:val="right" w:leader="dot" w:pos="8290"/>
        </w:tabs>
        <w:rPr>
          <w:b w:val="0"/>
          <w:noProof/>
          <w:lang w:val="en-US" w:eastAsia="ja-JP"/>
        </w:rPr>
      </w:pPr>
      <w:r>
        <w:rPr>
          <w:noProof/>
        </w:rPr>
        <w:t>2.</w:t>
      </w:r>
      <w:r>
        <w:rPr>
          <w:b w:val="0"/>
          <w:noProof/>
          <w:lang w:val="en-US" w:eastAsia="ja-JP"/>
        </w:rPr>
        <w:tab/>
      </w:r>
      <w:r>
        <w:rPr>
          <w:noProof/>
        </w:rPr>
        <w:t>Background to the AAPS-SDI studio series</w:t>
      </w:r>
      <w:r>
        <w:rPr>
          <w:noProof/>
        </w:rPr>
        <w:tab/>
      </w:r>
      <w:r>
        <w:rPr>
          <w:noProof/>
        </w:rPr>
        <w:fldChar w:fldCharType="begin"/>
      </w:r>
      <w:r>
        <w:rPr>
          <w:noProof/>
        </w:rPr>
        <w:instrText xml:space="preserve"> PAGEREF _Toc271363667 \h </w:instrText>
      </w:r>
      <w:r>
        <w:rPr>
          <w:noProof/>
        </w:rPr>
      </w:r>
      <w:r>
        <w:rPr>
          <w:noProof/>
        </w:rPr>
        <w:fldChar w:fldCharType="separate"/>
      </w:r>
      <w:r>
        <w:rPr>
          <w:noProof/>
        </w:rPr>
        <w:t>1</w:t>
      </w:r>
      <w:r>
        <w:rPr>
          <w:noProof/>
        </w:rPr>
        <w:fldChar w:fldCharType="end"/>
      </w:r>
    </w:p>
    <w:p w14:paraId="2E1B3CC6" w14:textId="77777777" w:rsidR="00914FA3" w:rsidRDefault="00914FA3">
      <w:pPr>
        <w:pStyle w:val="TOC1"/>
        <w:tabs>
          <w:tab w:val="left" w:pos="438"/>
          <w:tab w:val="right" w:leader="dot" w:pos="8290"/>
        </w:tabs>
        <w:rPr>
          <w:b w:val="0"/>
          <w:noProof/>
          <w:lang w:val="en-US" w:eastAsia="ja-JP"/>
        </w:rPr>
      </w:pPr>
      <w:r>
        <w:rPr>
          <w:noProof/>
        </w:rPr>
        <w:t>3.</w:t>
      </w:r>
      <w:r>
        <w:rPr>
          <w:b w:val="0"/>
          <w:noProof/>
          <w:lang w:val="en-US" w:eastAsia="ja-JP"/>
        </w:rPr>
        <w:tab/>
      </w:r>
      <w:r>
        <w:rPr>
          <w:noProof/>
        </w:rPr>
        <w:t>Description of studio projects</w:t>
      </w:r>
      <w:r>
        <w:rPr>
          <w:noProof/>
        </w:rPr>
        <w:tab/>
      </w:r>
      <w:r>
        <w:rPr>
          <w:noProof/>
        </w:rPr>
        <w:fldChar w:fldCharType="begin"/>
      </w:r>
      <w:r>
        <w:rPr>
          <w:noProof/>
        </w:rPr>
        <w:instrText xml:space="preserve"> PAGEREF _Toc271363668 \h </w:instrText>
      </w:r>
      <w:r>
        <w:rPr>
          <w:noProof/>
        </w:rPr>
      </w:r>
      <w:r>
        <w:rPr>
          <w:noProof/>
        </w:rPr>
        <w:fldChar w:fldCharType="separate"/>
      </w:r>
      <w:r>
        <w:rPr>
          <w:noProof/>
        </w:rPr>
        <w:t>3</w:t>
      </w:r>
      <w:r>
        <w:rPr>
          <w:noProof/>
        </w:rPr>
        <w:fldChar w:fldCharType="end"/>
      </w:r>
    </w:p>
    <w:p w14:paraId="65F735BE" w14:textId="77777777" w:rsidR="00914FA3" w:rsidRDefault="00914FA3">
      <w:pPr>
        <w:pStyle w:val="TOC1"/>
        <w:tabs>
          <w:tab w:val="left" w:pos="438"/>
          <w:tab w:val="right" w:leader="dot" w:pos="8290"/>
        </w:tabs>
        <w:rPr>
          <w:b w:val="0"/>
          <w:noProof/>
          <w:lang w:val="en-US" w:eastAsia="ja-JP"/>
        </w:rPr>
      </w:pPr>
      <w:r>
        <w:rPr>
          <w:noProof/>
        </w:rPr>
        <w:t>4.</w:t>
      </w:r>
      <w:r>
        <w:rPr>
          <w:b w:val="0"/>
          <w:noProof/>
          <w:lang w:val="en-US" w:eastAsia="ja-JP"/>
        </w:rPr>
        <w:tab/>
      </w:r>
      <w:r>
        <w:rPr>
          <w:noProof/>
        </w:rPr>
        <w:t>Lessons learnt</w:t>
      </w:r>
      <w:r>
        <w:rPr>
          <w:noProof/>
        </w:rPr>
        <w:tab/>
      </w:r>
      <w:r>
        <w:rPr>
          <w:noProof/>
        </w:rPr>
        <w:fldChar w:fldCharType="begin"/>
      </w:r>
      <w:r>
        <w:rPr>
          <w:noProof/>
        </w:rPr>
        <w:instrText xml:space="preserve"> PAGEREF _Toc271363669 \h </w:instrText>
      </w:r>
      <w:r>
        <w:rPr>
          <w:noProof/>
        </w:rPr>
      </w:r>
      <w:r>
        <w:rPr>
          <w:noProof/>
        </w:rPr>
        <w:fldChar w:fldCharType="separate"/>
      </w:r>
      <w:r>
        <w:rPr>
          <w:noProof/>
        </w:rPr>
        <w:t>4</w:t>
      </w:r>
      <w:r>
        <w:rPr>
          <w:noProof/>
        </w:rPr>
        <w:fldChar w:fldCharType="end"/>
      </w:r>
    </w:p>
    <w:p w14:paraId="57D5B49B" w14:textId="77777777" w:rsidR="00914FA3" w:rsidRDefault="00914FA3">
      <w:pPr>
        <w:pStyle w:val="TOC2"/>
        <w:tabs>
          <w:tab w:val="left" w:pos="792"/>
          <w:tab w:val="right" w:leader="dot" w:pos="8290"/>
        </w:tabs>
        <w:rPr>
          <w:b w:val="0"/>
          <w:noProof/>
          <w:sz w:val="24"/>
          <w:szCs w:val="24"/>
          <w:lang w:val="en-US" w:eastAsia="ja-JP"/>
        </w:rPr>
      </w:pPr>
      <w:r>
        <w:rPr>
          <w:noProof/>
        </w:rPr>
        <w:t>4.1</w:t>
      </w:r>
      <w:r>
        <w:rPr>
          <w:b w:val="0"/>
          <w:noProof/>
          <w:sz w:val="24"/>
          <w:szCs w:val="24"/>
          <w:lang w:val="en-US" w:eastAsia="ja-JP"/>
        </w:rPr>
        <w:tab/>
      </w:r>
      <w:r>
        <w:rPr>
          <w:noProof/>
        </w:rPr>
        <w:t>Studio preparation</w:t>
      </w:r>
      <w:r>
        <w:rPr>
          <w:noProof/>
        </w:rPr>
        <w:tab/>
      </w:r>
      <w:r>
        <w:rPr>
          <w:noProof/>
        </w:rPr>
        <w:fldChar w:fldCharType="begin"/>
      </w:r>
      <w:r>
        <w:rPr>
          <w:noProof/>
        </w:rPr>
        <w:instrText xml:space="preserve"> PAGEREF _Toc271363670 \h </w:instrText>
      </w:r>
      <w:r>
        <w:rPr>
          <w:noProof/>
        </w:rPr>
      </w:r>
      <w:r>
        <w:rPr>
          <w:noProof/>
        </w:rPr>
        <w:fldChar w:fldCharType="separate"/>
      </w:r>
      <w:r>
        <w:rPr>
          <w:noProof/>
        </w:rPr>
        <w:t>4</w:t>
      </w:r>
      <w:r>
        <w:rPr>
          <w:noProof/>
        </w:rPr>
        <w:fldChar w:fldCharType="end"/>
      </w:r>
    </w:p>
    <w:p w14:paraId="3C7E7E71" w14:textId="77777777" w:rsidR="00914FA3" w:rsidRDefault="00914FA3">
      <w:pPr>
        <w:pStyle w:val="TOC2"/>
        <w:tabs>
          <w:tab w:val="left" w:pos="792"/>
          <w:tab w:val="right" w:leader="dot" w:pos="8290"/>
        </w:tabs>
        <w:rPr>
          <w:b w:val="0"/>
          <w:noProof/>
          <w:sz w:val="24"/>
          <w:szCs w:val="24"/>
          <w:lang w:val="en-US" w:eastAsia="ja-JP"/>
        </w:rPr>
      </w:pPr>
      <w:r>
        <w:rPr>
          <w:noProof/>
        </w:rPr>
        <w:t>4.2</w:t>
      </w:r>
      <w:r>
        <w:rPr>
          <w:b w:val="0"/>
          <w:noProof/>
          <w:sz w:val="24"/>
          <w:szCs w:val="24"/>
          <w:lang w:val="en-US" w:eastAsia="ja-JP"/>
        </w:rPr>
        <w:tab/>
      </w:r>
      <w:r>
        <w:rPr>
          <w:noProof/>
        </w:rPr>
        <w:t>Studio implementation</w:t>
      </w:r>
      <w:r>
        <w:rPr>
          <w:noProof/>
        </w:rPr>
        <w:tab/>
      </w:r>
      <w:r>
        <w:rPr>
          <w:noProof/>
        </w:rPr>
        <w:fldChar w:fldCharType="begin"/>
      </w:r>
      <w:r>
        <w:rPr>
          <w:noProof/>
        </w:rPr>
        <w:instrText xml:space="preserve"> PAGEREF _Toc271363671 \h </w:instrText>
      </w:r>
      <w:r>
        <w:rPr>
          <w:noProof/>
        </w:rPr>
      </w:r>
      <w:r>
        <w:rPr>
          <w:noProof/>
        </w:rPr>
        <w:fldChar w:fldCharType="separate"/>
      </w:r>
      <w:r>
        <w:rPr>
          <w:noProof/>
        </w:rPr>
        <w:t>7</w:t>
      </w:r>
      <w:r>
        <w:rPr>
          <w:noProof/>
        </w:rPr>
        <w:fldChar w:fldCharType="end"/>
      </w:r>
    </w:p>
    <w:p w14:paraId="5BC5909D" w14:textId="77777777" w:rsidR="00914FA3" w:rsidRDefault="00914FA3">
      <w:pPr>
        <w:pStyle w:val="TOC1"/>
        <w:tabs>
          <w:tab w:val="left" w:pos="438"/>
          <w:tab w:val="right" w:leader="dot" w:pos="8290"/>
        </w:tabs>
        <w:rPr>
          <w:b w:val="0"/>
          <w:noProof/>
          <w:lang w:val="en-US" w:eastAsia="ja-JP"/>
        </w:rPr>
      </w:pPr>
      <w:r>
        <w:rPr>
          <w:noProof/>
        </w:rPr>
        <w:t>5.</w:t>
      </w:r>
      <w:r>
        <w:rPr>
          <w:b w:val="0"/>
          <w:noProof/>
          <w:lang w:val="en-US" w:eastAsia="ja-JP"/>
        </w:rPr>
        <w:tab/>
      </w:r>
      <w:r>
        <w:rPr>
          <w:noProof/>
        </w:rPr>
        <w:t>Synthesis</w:t>
      </w:r>
      <w:r>
        <w:rPr>
          <w:noProof/>
        </w:rPr>
        <w:tab/>
      </w:r>
      <w:r>
        <w:rPr>
          <w:noProof/>
        </w:rPr>
        <w:fldChar w:fldCharType="begin"/>
      </w:r>
      <w:r>
        <w:rPr>
          <w:noProof/>
        </w:rPr>
        <w:instrText xml:space="preserve"> PAGEREF _Toc271363672 \h </w:instrText>
      </w:r>
      <w:r>
        <w:rPr>
          <w:noProof/>
        </w:rPr>
      </w:r>
      <w:r>
        <w:rPr>
          <w:noProof/>
        </w:rPr>
        <w:fldChar w:fldCharType="separate"/>
      </w:r>
      <w:r>
        <w:rPr>
          <w:noProof/>
        </w:rPr>
        <w:t>14</w:t>
      </w:r>
      <w:r>
        <w:rPr>
          <w:noProof/>
        </w:rPr>
        <w:fldChar w:fldCharType="end"/>
      </w:r>
    </w:p>
    <w:p w14:paraId="4549AF87" w14:textId="77777777" w:rsidR="00914FA3" w:rsidRDefault="00914FA3">
      <w:pPr>
        <w:pStyle w:val="TOC1"/>
        <w:tabs>
          <w:tab w:val="right" w:leader="dot" w:pos="8290"/>
        </w:tabs>
        <w:rPr>
          <w:b w:val="0"/>
          <w:noProof/>
          <w:lang w:val="en-US" w:eastAsia="ja-JP"/>
        </w:rPr>
      </w:pPr>
      <w:r>
        <w:rPr>
          <w:noProof/>
        </w:rPr>
        <w:t>Appendix 1: Example community profile sheet</w:t>
      </w:r>
      <w:r>
        <w:rPr>
          <w:noProof/>
        </w:rPr>
        <w:tab/>
      </w:r>
      <w:r>
        <w:rPr>
          <w:noProof/>
        </w:rPr>
        <w:fldChar w:fldCharType="begin"/>
      </w:r>
      <w:r>
        <w:rPr>
          <w:noProof/>
        </w:rPr>
        <w:instrText xml:space="preserve"> PAGEREF _Toc271363673 \h </w:instrText>
      </w:r>
      <w:r>
        <w:rPr>
          <w:noProof/>
        </w:rPr>
      </w:r>
      <w:r>
        <w:rPr>
          <w:noProof/>
        </w:rPr>
        <w:fldChar w:fldCharType="separate"/>
      </w:r>
      <w:r>
        <w:rPr>
          <w:noProof/>
        </w:rPr>
        <w:t>18</w:t>
      </w:r>
      <w:r>
        <w:rPr>
          <w:noProof/>
        </w:rPr>
        <w:fldChar w:fldCharType="end"/>
      </w:r>
    </w:p>
    <w:p w14:paraId="36DF9560" w14:textId="77777777" w:rsidR="00914FA3" w:rsidRDefault="00914FA3">
      <w:pPr>
        <w:pStyle w:val="TOC1"/>
        <w:tabs>
          <w:tab w:val="right" w:leader="dot" w:pos="8290"/>
        </w:tabs>
        <w:rPr>
          <w:b w:val="0"/>
          <w:noProof/>
          <w:lang w:val="en-US" w:eastAsia="ja-JP"/>
        </w:rPr>
      </w:pPr>
      <w:r>
        <w:rPr>
          <w:noProof/>
        </w:rPr>
        <w:t>Appendix 2: Bibliography of community service learning and studio literature</w:t>
      </w:r>
      <w:r>
        <w:rPr>
          <w:noProof/>
        </w:rPr>
        <w:tab/>
      </w:r>
      <w:r>
        <w:rPr>
          <w:noProof/>
        </w:rPr>
        <w:fldChar w:fldCharType="begin"/>
      </w:r>
      <w:r>
        <w:rPr>
          <w:noProof/>
        </w:rPr>
        <w:instrText xml:space="preserve"> PAGEREF _Toc271363674 \h </w:instrText>
      </w:r>
      <w:r>
        <w:rPr>
          <w:noProof/>
        </w:rPr>
      </w:r>
      <w:r>
        <w:rPr>
          <w:noProof/>
        </w:rPr>
        <w:fldChar w:fldCharType="separate"/>
      </w:r>
      <w:r>
        <w:rPr>
          <w:noProof/>
        </w:rPr>
        <w:t>20</w:t>
      </w:r>
      <w:r>
        <w:rPr>
          <w:noProof/>
        </w:rPr>
        <w:fldChar w:fldCharType="end"/>
      </w:r>
    </w:p>
    <w:p w14:paraId="3A725AB8" w14:textId="77777777" w:rsidR="00914FA3" w:rsidRDefault="00914FA3">
      <w:pPr>
        <w:pStyle w:val="TOC1"/>
        <w:tabs>
          <w:tab w:val="right" w:leader="dot" w:pos="8290"/>
        </w:tabs>
        <w:rPr>
          <w:b w:val="0"/>
          <w:noProof/>
          <w:lang w:val="en-US" w:eastAsia="ja-JP"/>
        </w:rPr>
      </w:pPr>
      <w:r>
        <w:rPr>
          <w:noProof/>
        </w:rPr>
        <w:t>Appendix 3: Example memorandum of understanding</w:t>
      </w:r>
      <w:r>
        <w:rPr>
          <w:noProof/>
        </w:rPr>
        <w:tab/>
      </w:r>
      <w:r>
        <w:rPr>
          <w:noProof/>
        </w:rPr>
        <w:fldChar w:fldCharType="begin"/>
      </w:r>
      <w:r>
        <w:rPr>
          <w:noProof/>
        </w:rPr>
        <w:instrText xml:space="preserve"> PAGEREF _Toc271363675 \h </w:instrText>
      </w:r>
      <w:r>
        <w:rPr>
          <w:noProof/>
        </w:rPr>
      </w:r>
      <w:r>
        <w:rPr>
          <w:noProof/>
        </w:rPr>
        <w:fldChar w:fldCharType="separate"/>
      </w:r>
      <w:r>
        <w:rPr>
          <w:noProof/>
        </w:rPr>
        <w:t>21</w:t>
      </w:r>
      <w:r>
        <w:rPr>
          <w:noProof/>
        </w:rPr>
        <w:fldChar w:fldCharType="end"/>
      </w:r>
    </w:p>
    <w:p w14:paraId="500F0C53" w14:textId="77777777" w:rsidR="00914FA3" w:rsidRDefault="00914FA3">
      <w:pPr>
        <w:pStyle w:val="TOC1"/>
        <w:tabs>
          <w:tab w:val="right" w:leader="dot" w:pos="8290"/>
        </w:tabs>
        <w:rPr>
          <w:b w:val="0"/>
          <w:noProof/>
          <w:lang w:val="en-US" w:eastAsia="ja-JP"/>
        </w:rPr>
      </w:pPr>
      <w:r>
        <w:rPr>
          <w:noProof/>
        </w:rPr>
        <w:t>Appendix 4: Example studio work plan</w:t>
      </w:r>
      <w:r>
        <w:rPr>
          <w:noProof/>
        </w:rPr>
        <w:tab/>
      </w:r>
      <w:r>
        <w:rPr>
          <w:noProof/>
        </w:rPr>
        <w:fldChar w:fldCharType="begin"/>
      </w:r>
      <w:r>
        <w:rPr>
          <w:noProof/>
        </w:rPr>
        <w:instrText xml:space="preserve"> PAGEREF _Toc271363676 \h </w:instrText>
      </w:r>
      <w:r>
        <w:rPr>
          <w:noProof/>
        </w:rPr>
      </w:r>
      <w:r>
        <w:rPr>
          <w:noProof/>
        </w:rPr>
        <w:fldChar w:fldCharType="separate"/>
      </w:r>
      <w:r>
        <w:rPr>
          <w:noProof/>
        </w:rPr>
        <w:t>1</w:t>
      </w:r>
      <w:r>
        <w:rPr>
          <w:noProof/>
        </w:rPr>
        <w:fldChar w:fldCharType="end"/>
      </w:r>
    </w:p>
    <w:p w14:paraId="6C58B0EE" w14:textId="77777777" w:rsidR="00914FA3" w:rsidRDefault="00914FA3">
      <w:pPr>
        <w:pStyle w:val="TOC1"/>
        <w:tabs>
          <w:tab w:val="right" w:leader="dot" w:pos="8290"/>
        </w:tabs>
        <w:rPr>
          <w:b w:val="0"/>
          <w:noProof/>
          <w:lang w:val="en-US" w:eastAsia="ja-JP"/>
        </w:rPr>
      </w:pPr>
      <w:r>
        <w:rPr>
          <w:noProof/>
        </w:rPr>
        <w:t>Appendix 5: Description of enumeration process for Uganda studio</w:t>
      </w:r>
      <w:r>
        <w:rPr>
          <w:noProof/>
        </w:rPr>
        <w:tab/>
      </w:r>
      <w:r>
        <w:rPr>
          <w:noProof/>
        </w:rPr>
        <w:fldChar w:fldCharType="begin"/>
      </w:r>
      <w:r>
        <w:rPr>
          <w:noProof/>
        </w:rPr>
        <w:instrText xml:space="preserve"> PAGEREF _Toc271363677 \h </w:instrText>
      </w:r>
      <w:r>
        <w:rPr>
          <w:noProof/>
        </w:rPr>
      </w:r>
      <w:r>
        <w:rPr>
          <w:noProof/>
        </w:rPr>
        <w:fldChar w:fldCharType="separate"/>
      </w:r>
      <w:r>
        <w:rPr>
          <w:noProof/>
        </w:rPr>
        <w:t>21</w:t>
      </w:r>
      <w:r>
        <w:rPr>
          <w:noProof/>
        </w:rPr>
        <w:fldChar w:fldCharType="end"/>
      </w:r>
    </w:p>
    <w:p w14:paraId="55BFB451" w14:textId="77777777" w:rsidR="0027611B" w:rsidRDefault="005B3C34">
      <w:r>
        <w:fldChar w:fldCharType="end"/>
      </w:r>
    </w:p>
    <w:p w14:paraId="36755953" w14:textId="77777777" w:rsidR="0027611B" w:rsidRDefault="0027611B"/>
    <w:p w14:paraId="142E5035" w14:textId="77777777" w:rsidR="0027611B" w:rsidRDefault="0027611B" w:rsidP="0027611B"/>
    <w:p w14:paraId="3A98852D" w14:textId="77777777" w:rsidR="0027611B" w:rsidRDefault="0027611B" w:rsidP="0027611B">
      <w:pPr>
        <w:sectPr w:rsidR="0027611B" w:rsidSect="000C536C">
          <w:footerReference w:type="even" r:id="rId12"/>
          <w:footerReference w:type="default" r:id="rId13"/>
          <w:pgSz w:w="11900" w:h="16840"/>
          <w:pgMar w:top="1440" w:right="1800" w:bottom="1440" w:left="1800" w:header="708" w:footer="708" w:gutter="0"/>
          <w:cols w:space="708"/>
          <w:docGrid w:linePitch="360"/>
        </w:sectPr>
      </w:pPr>
    </w:p>
    <w:p w14:paraId="742D46AA" w14:textId="3716E469" w:rsidR="007A2222" w:rsidRDefault="007A2222" w:rsidP="00282A80">
      <w:pPr>
        <w:pStyle w:val="Heading1"/>
        <w:numPr>
          <w:ilvl w:val="0"/>
          <w:numId w:val="11"/>
        </w:numPr>
      </w:pPr>
      <w:bookmarkStart w:id="11" w:name="_Toc271363666"/>
      <w:r>
        <w:lastRenderedPageBreak/>
        <w:t>Introduction</w:t>
      </w:r>
      <w:bookmarkEnd w:id="11"/>
    </w:p>
    <w:p w14:paraId="1F31B08C" w14:textId="77777777" w:rsidR="00282A80" w:rsidRDefault="00282A80"/>
    <w:p w14:paraId="671E7BBB" w14:textId="3F62119A" w:rsidR="007A2222" w:rsidRDefault="00B117E3">
      <w:r>
        <w:t>This report documents the outcomes, opportunities and challenges of conducting community-based planning education studio projects</w:t>
      </w:r>
      <w:r w:rsidR="00282A80">
        <w:t xml:space="preserve"> in informal African urban contexts</w:t>
      </w:r>
      <w:r>
        <w:t>. It draws on the lessons of a series of studi</w:t>
      </w:r>
      <w:r w:rsidR="00282A80">
        <w:t xml:space="preserve">o projects jointly organized </w:t>
      </w:r>
      <w:r>
        <w:t xml:space="preserve">by </w:t>
      </w:r>
      <w:r w:rsidR="0017782C">
        <w:t>Shack/</w:t>
      </w:r>
      <w:r>
        <w:t>Slum Dwellers International (SDI) and the Association of African Planning Schools (AAPS</w:t>
      </w:r>
      <w:r w:rsidRPr="0017782C">
        <w:t>), between 201</w:t>
      </w:r>
      <w:r w:rsidR="00845FC0">
        <w:t>1</w:t>
      </w:r>
      <w:r w:rsidRPr="0017782C">
        <w:t xml:space="preserve"> and 201</w:t>
      </w:r>
      <w:r w:rsidR="00DF35BD" w:rsidRPr="0017782C">
        <w:t>4</w:t>
      </w:r>
      <w:r w:rsidRPr="0017782C">
        <w:t>.</w:t>
      </w:r>
    </w:p>
    <w:p w14:paraId="7053FD11" w14:textId="77777777" w:rsidR="00B117E3" w:rsidRDefault="00B117E3"/>
    <w:p w14:paraId="61206771" w14:textId="7708488D" w:rsidR="00B117E3" w:rsidRDefault="00B117E3">
      <w:r>
        <w:t xml:space="preserve">The report intends to serve as a summary of the </w:t>
      </w:r>
      <w:r w:rsidR="00316B49">
        <w:t>key challenges and lessons that emerged from each of these studios. It further intends to act as a resource and set of guidelines for other educational institutions, government agencies or civil society organizations seeking to implement such projects in their own contexts.</w:t>
      </w:r>
    </w:p>
    <w:p w14:paraId="13D446CE" w14:textId="77777777" w:rsidR="00316B49" w:rsidRDefault="00316B49"/>
    <w:p w14:paraId="51AD10CC" w14:textId="7FE9D1AC" w:rsidR="00316B49" w:rsidRDefault="00316B49">
      <w:r>
        <w:t xml:space="preserve">The report is arranged in several parts. Section 1 provides background to the AAPS-SDI partnership and the rationale of the studio series. Section 2 briefly describes each studio project and the institutions involved, </w:t>
      </w:r>
      <w:r w:rsidR="0017782C">
        <w:t xml:space="preserve">their </w:t>
      </w:r>
      <w:r>
        <w:t xml:space="preserve">thematic focus, duration, and so on. Section 3 documents the lessons emerging from the studio projects, particularly pertaining to studio preparation and implementation. Section 4 provides a synthesis of some of the key issues and opportunities emerging overall from the studio series. </w:t>
      </w:r>
    </w:p>
    <w:p w14:paraId="799EF8F0" w14:textId="26EC310E" w:rsidR="00C86BFE" w:rsidRDefault="00C86BFE" w:rsidP="00DF35BD">
      <w:pPr>
        <w:pStyle w:val="Heading1"/>
        <w:numPr>
          <w:ilvl w:val="0"/>
          <w:numId w:val="11"/>
        </w:numPr>
      </w:pPr>
      <w:bookmarkStart w:id="12" w:name="_Toc271363667"/>
      <w:r>
        <w:t>Background</w:t>
      </w:r>
      <w:r w:rsidR="007A2222">
        <w:t xml:space="preserve"> to the AAPS-SDI studio series</w:t>
      </w:r>
      <w:bookmarkEnd w:id="12"/>
    </w:p>
    <w:p w14:paraId="465CD6BB" w14:textId="77777777" w:rsidR="00282A80" w:rsidRDefault="00282A80" w:rsidP="00282A80"/>
    <w:p w14:paraId="0C44AE7B" w14:textId="77777777" w:rsidR="00621626" w:rsidRDefault="00621626" w:rsidP="00282A80">
      <w:r>
        <w:t>In November 2010, representatives of the Association of African Planning Schools (AAPS) and Shack/Slum Dwellers International (SDI) signed a Memorandum of Understanding, designed to promote collaboration between these two entities and their affiliated institutions.</w:t>
      </w:r>
    </w:p>
    <w:p w14:paraId="72A69B4C" w14:textId="77777777" w:rsidR="00282A80" w:rsidRDefault="00282A80" w:rsidP="00282A80"/>
    <w:p w14:paraId="087443B2" w14:textId="2D1AF324" w:rsidR="00621626" w:rsidRDefault="00621626" w:rsidP="00282A80">
      <w:r>
        <w:t>The signing of the Memorandum follow</w:t>
      </w:r>
      <w:r w:rsidR="00282A80">
        <w:t>ed</w:t>
      </w:r>
      <w:r>
        <w:t xml:space="preserve"> the success of the AAPS </w:t>
      </w:r>
      <w:r w:rsidR="00282A80">
        <w:t>c</w:t>
      </w:r>
      <w:r>
        <w:t xml:space="preserve">onference on </w:t>
      </w:r>
      <w:r w:rsidR="00282A80">
        <w:t>‘</w:t>
      </w:r>
      <w:r w:rsidR="00555FBB">
        <w:t>Revitaliz</w:t>
      </w:r>
      <w:r>
        <w:t>ing Planning Education in Africa</w:t>
      </w:r>
      <w:r w:rsidR="00282A80">
        <w:t>’</w:t>
      </w:r>
      <w:r>
        <w:t xml:space="preserve">, held in Dar </w:t>
      </w:r>
      <w:proofErr w:type="spellStart"/>
      <w:r>
        <w:t>es</w:t>
      </w:r>
      <w:proofErr w:type="spellEnd"/>
      <w:r>
        <w:t xml:space="preserve"> Salaam in October 2010. Several SDI representatives attended and provided invaluable input to that conference. Jane </w:t>
      </w:r>
      <w:proofErr w:type="spellStart"/>
      <w:r>
        <w:t>Weru</w:t>
      </w:r>
      <w:proofErr w:type="spellEnd"/>
      <w:r>
        <w:t xml:space="preserve"> and </w:t>
      </w:r>
      <w:proofErr w:type="spellStart"/>
      <w:r>
        <w:t>Lamech</w:t>
      </w:r>
      <w:proofErr w:type="spellEnd"/>
      <w:r>
        <w:t xml:space="preserve"> </w:t>
      </w:r>
      <w:proofErr w:type="spellStart"/>
      <w:r>
        <w:t>Nyariki</w:t>
      </w:r>
      <w:proofErr w:type="spellEnd"/>
      <w:r>
        <w:t xml:space="preserve"> </w:t>
      </w:r>
      <w:r w:rsidR="00282A80">
        <w:t>of SDI</w:t>
      </w:r>
      <w:r w:rsidR="00EA0302">
        <w:t xml:space="preserve"> presented to the conference and </w:t>
      </w:r>
      <w:r w:rsidR="00282A80">
        <w:t>both</w:t>
      </w:r>
      <w:r>
        <w:t xml:space="preserve"> highlighted the practical and experiential benefits conferred by a cooperative agreement previously forged between SDI and the </w:t>
      </w:r>
      <w:r w:rsidR="00282A80">
        <w:t xml:space="preserve">urban and regional </w:t>
      </w:r>
      <w:r>
        <w:t>planning department at the University of Nairobi</w:t>
      </w:r>
      <w:r w:rsidR="00282A80">
        <w:t xml:space="preserve"> (Kenya)</w:t>
      </w:r>
      <w:r>
        <w:t xml:space="preserve">. </w:t>
      </w:r>
    </w:p>
    <w:p w14:paraId="75A7E68F" w14:textId="77777777" w:rsidR="00282A80" w:rsidRDefault="00282A80" w:rsidP="00282A80"/>
    <w:p w14:paraId="6E906A23" w14:textId="39F7D627" w:rsidR="00621626" w:rsidRDefault="00621626" w:rsidP="00282A80">
      <w:r>
        <w:t>The following extract from the Memorandum document outlines the purpose of the</w:t>
      </w:r>
      <w:r w:rsidR="00EA0302">
        <w:t xml:space="preserve"> partnership</w:t>
      </w:r>
      <w:r>
        <w:t xml:space="preserve"> agreement:</w:t>
      </w:r>
    </w:p>
    <w:p w14:paraId="764D2334" w14:textId="77777777" w:rsidR="00282A80" w:rsidRDefault="00282A80" w:rsidP="00282A80"/>
    <w:p w14:paraId="3544B4A1" w14:textId="735EBF8C" w:rsidR="00621626" w:rsidRPr="00282A80" w:rsidRDefault="00621626" w:rsidP="00282A80">
      <w:pPr>
        <w:ind w:left="720"/>
        <w:rPr>
          <w:i/>
        </w:rPr>
      </w:pPr>
      <w:r w:rsidRPr="00282A80">
        <w:rPr>
          <w:i/>
        </w:rPr>
        <w:t xml:space="preserve">To promote the collaboration of SDI and SDI country-based affiliates with members of the AAPS in order to promote initiatives, plans and policies which encourage pro-poor and inclusive cities and towns in Africa. The Partnership recognizes that planners play an important role in either facilitating or hindering the inclusion and improvement of informal settlements and slums, and that the education of planners has a fundamental impact on both their values and understanding, responses and </w:t>
      </w:r>
      <w:r w:rsidRPr="00282A80">
        <w:rPr>
          <w:i/>
        </w:rPr>
        <w:lastRenderedPageBreak/>
        <w:t>practices, in relation to urban informality. The Partnership recognizes that one of the most ef</w:t>
      </w:r>
      <w:r w:rsidR="003673C3">
        <w:rPr>
          <w:i/>
        </w:rPr>
        <w:t>fective ways to change the mind</w:t>
      </w:r>
      <w:r w:rsidR="003673C3" w:rsidRPr="00282A80">
        <w:rPr>
          <w:i/>
        </w:rPr>
        <w:t>-sets</w:t>
      </w:r>
      <w:r w:rsidRPr="00282A80">
        <w:rPr>
          <w:i/>
        </w:rPr>
        <w:t xml:space="preserve"> of student planners is to offer them direct experiential exposure to, and interaction with, the conditions and residents of </w:t>
      </w:r>
      <w:r w:rsidR="00282A80" w:rsidRPr="00282A80">
        <w:rPr>
          <w:i/>
        </w:rPr>
        <w:t>informal settlements and slums.</w:t>
      </w:r>
    </w:p>
    <w:p w14:paraId="262CDAFF" w14:textId="77777777" w:rsidR="00282A80" w:rsidRDefault="00282A80" w:rsidP="00282A80"/>
    <w:p w14:paraId="67AD7C5F" w14:textId="5CF0E029" w:rsidR="00621626" w:rsidRDefault="00621626" w:rsidP="00282A80">
      <w:r>
        <w:t xml:space="preserve">As part of the agreement, AAPS </w:t>
      </w:r>
      <w:r w:rsidR="00431AE2">
        <w:t>undertook</w:t>
      </w:r>
      <w:r>
        <w:t xml:space="preserve"> to encourage its member schools to establish collaborative relationships with SDI affiliates in their respective countries. Such relationships could potentially include the arrangement of student </w:t>
      </w:r>
      <w:r w:rsidR="0008076E">
        <w:t>internships with SDI affiliates,</w:t>
      </w:r>
      <w:r>
        <w:t xml:space="preserve"> inviting SDI staff to give input and lectures to students, as well as the conduction of research and/or teaching projects (particularly in informal settlements) in partnership with SDI affiliates.</w:t>
      </w:r>
    </w:p>
    <w:p w14:paraId="1FD47537" w14:textId="77777777" w:rsidR="0008076E" w:rsidRDefault="0008076E" w:rsidP="00282A80"/>
    <w:p w14:paraId="34A17D2C" w14:textId="6B4EE474" w:rsidR="0008076E" w:rsidRDefault="0008076E" w:rsidP="00282A80">
      <w:r>
        <w:t>In 2010, AAPS secured project funding from the Rockefeller Foundation to implement the partnership between AAPS and SDI. This funding included provision for organizing six joint AAPS-SDI studios in different African urban contexts. Each studio would involve an AAPS member institution working collaboratively with the relevant local SDI affiliate</w:t>
      </w:r>
      <w:r w:rsidR="00DF35BD">
        <w:t>s.</w:t>
      </w:r>
      <w:r w:rsidR="005F3A22">
        <w:rPr>
          <w:rStyle w:val="FootnoteReference"/>
        </w:rPr>
        <w:footnoteReference w:id="1"/>
      </w:r>
    </w:p>
    <w:p w14:paraId="21DA2F5F" w14:textId="77777777" w:rsidR="00282A80" w:rsidRDefault="00282A80" w:rsidP="00282A80"/>
    <w:p w14:paraId="0D87AFFE" w14:textId="619B5D2E" w:rsidR="00DF35BD" w:rsidRDefault="00DF35BD" w:rsidP="00DF35BD">
      <w:r>
        <w:t>The a</w:t>
      </w:r>
      <w:r w:rsidR="00C86BFE">
        <w:t>ims and objectives of the studios</w:t>
      </w:r>
      <w:r>
        <w:t xml:space="preserve"> were:</w:t>
      </w:r>
    </w:p>
    <w:p w14:paraId="7478A886" w14:textId="77777777" w:rsidR="00DF35BD" w:rsidRDefault="00DF35BD" w:rsidP="00DF35BD">
      <w:pPr>
        <w:pStyle w:val="ListParagraph"/>
        <w:numPr>
          <w:ilvl w:val="0"/>
          <w:numId w:val="12"/>
        </w:numPr>
        <w:rPr>
          <w:lang w:bidi="en-US"/>
        </w:rPr>
      </w:pPr>
      <w:r>
        <w:rPr>
          <w:lang w:bidi="en-US"/>
        </w:rPr>
        <w:t>To act as</w:t>
      </w:r>
      <w:r w:rsidR="00C94519" w:rsidRPr="00C94519">
        <w:rPr>
          <w:lang w:bidi="en-US"/>
        </w:rPr>
        <w:t xml:space="preserve"> experimental platform</w:t>
      </w:r>
      <w:r>
        <w:rPr>
          <w:lang w:bidi="en-US"/>
        </w:rPr>
        <w:t>s</w:t>
      </w:r>
      <w:r w:rsidR="00C94519" w:rsidRPr="00C94519">
        <w:rPr>
          <w:lang w:bidi="en-US"/>
        </w:rPr>
        <w:t xml:space="preserve"> to explore alternative methods of planning with local communities. </w:t>
      </w:r>
    </w:p>
    <w:p w14:paraId="68324BBD" w14:textId="77777777" w:rsidR="00DF35BD" w:rsidRDefault="00DF35BD" w:rsidP="00DF35BD">
      <w:pPr>
        <w:pStyle w:val="ListParagraph"/>
        <w:numPr>
          <w:ilvl w:val="0"/>
          <w:numId w:val="12"/>
        </w:numPr>
        <w:rPr>
          <w:lang w:bidi="en-US"/>
        </w:rPr>
      </w:pPr>
      <w:r>
        <w:rPr>
          <w:lang w:bidi="en-US"/>
        </w:rPr>
        <w:t xml:space="preserve">To serve </w:t>
      </w:r>
      <w:r w:rsidR="00C94519" w:rsidRPr="00C94519">
        <w:rPr>
          <w:lang w:bidi="en-US"/>
        </w:rPr>
        <w:t>as catalyst</w:t>
      </w:r>
      <w:r>
        <w:rPr>
          <w:lang w:bidi="en-US"/>
        </w:rPr>
        <w:t>s</w:t>
      </w:r>
      <w:r w:rsidR="00C94519" w:rsidRPr="00C94519">
        <w:rPr>
          <w:lang w:bidi="en-US"/>
        </w:rPr>
        <w:t xml:space="preserve"> for continuing engagements between SDI affiliates and AAPS members. </w:t>
      </w:r>
    </w:p>
    <w:p w14:paraId="76CC8022" w14:textId="54ED568D" w:rsidR="00C86BFE" w:rsidRDefault="00DF35BD" w:rsidP="00DF35BD">
      <w:pPr>
        <w:pStyle w:val="ListParagraph"/>
        <w:numPr>
          <w:ilvl w:val="0"/>
          <w:numId w:val="12"/>
        </w:numPr>
        <w:rPr>
          <w:lang w:bidi="en-US"/>
        </w:rPr>
      </w:pPr>
      <w:r>
        <w:rPr>
          <w:lang w:bidi="en-US"/>
        </w:rPr>
        <w:t xml:space="preserve">To provide a basis for mainstreaming </w:t>
      </w:r>
      <w:r w:rsidR="00C94519" w:rsidRPr="00C94519">
        <w:rPr>
          <w:lang w:bidi="en-US"/>
        </w:rPr>
        <w:t xml:space="preserve">critical </w:t>
      </w:r>
      <w:r>
        <w:rPr>
          <w:lang w:bidi="en-US"/>
        </w:rPr>
        <w:t xml:space="preserve">community-based </w:t>
      </w:r>
      <w:r w:rsidR="00C94519" w:rsidRPr="00C94519">
        <w:rPr>
          <w:lang w:bidi="en-US"/>
        </w:rPr>
        <w:t xml:space="preserve">engagements and informality into </w:t>
      </w:r>
      <w:r>
        <w:rPr>
          <w:lang w:bidi="en-US"/>
        </w:rPr>
        <w:t>university planning curricula</w:t>
      </w:r>
      <w:r w:rsidR="00C94519" w:rsidRPr="00C94519">
        <w:rPr>
          <w:lang w:bidi="en-US"/>
        </w:rPr>
        <w:t>.</w:t>
      </w:r>
    </w:p>
    <w:p w14:paraId="07067C47" w14:textId="77777777" w:rsidR="00C94519" w:rsidRDefault="00C94519" w:rsidP="00C86BFE">
      <w:pPr>
        <w:rPr>
          <w:lang w:bidi="en-US"/>
        </w:rPr>
      </w:pPr>
    </w:p>
    <w:p w14:paraId="1EDA68BE" w14:textId="36EDACC0" w:rsidR="00C94519" w:rsidRDefault="00C94519" w:rsidP="00C86BFE">
      <w:pPr>
        <w:rPr>
          <w:lang w:bidi="en-US"/>
        </w:rPr>
      </w:pPr>
      <w:r>
        <w:rPr>
          <w:lang w:bidi="en-US"/>
        </w:rPr>
        <w:t>A number of principles</w:t>
      </w:r>
      <w:r w:rsidR="00DF35BD">
        <w:rPr>
          <w:lang w:bidi="en-US"/>
        </w:rPr>
        <w:t xml:space="preserve"> were set out to inform</w:t>
      </w:r>
      <w:r>
        <w:rPr>
          <w:lang w:bidi="en-US"/>
        </w:rPr>
        <w:t xml:space="preserve"> the studios, including:</w:t>
      </w:r>
    </w:p>
    <w:p w14:paraId="2E319877" w14:textId="77777777" w:rsidR="0008076E" w:rsidRDefault="00C94519" w:rsidP="00C94519">
      <w:pPr>
        <w:pStyle w:val="ListParagraph"/>
        <w:numPr>
          <w:ilvl w:val="0"/>
          <w:numId w:val="1"/>
        </w:numPr>
      </w:pPr>
      <w:r w:rsidRPr="00C94519">
        <w:rPr>
          <w:lang w:bidi="en-US"/>
        </w:rPr>
        <w:t xml:space="preserve">The studios </w:t>
      </w:r>
      <w:r w:rsidR="0008076E">
        <w:rPr>
          <w:lang w:bidi="en-US"/>
        </w:rPr>
        <w:t>should be consultative and co</w:t>
      </w:r>
      <w:r w:rsidRPr="00C94519">
        <w:rPr>
          <w:lang w:bidi="en-US"/>
        </w:rPr>
        <w:t xml:space="preserve">produced to ensure that </w:t>
      </w:r>
      <w:r w:rsidR="0008076E">
        <w:rPr>
          <w:lang w:bidi="en-US"/>
        </w:rPr>
        <w:t>they serve</w:t>
      </w:r>
      <w:r w:rsidRPr="00C94519">
        <w:rPr>
          <w:lang w:bidi="en-US"/>
        </w:rPr>
        <w:t xml:space="preserve"> the needs of </w:t>
      </w:r>
      <w:r w:rsidR="0008076E">
        <w:rPr>
          <w:lang w:bidi="en-US"/>
        </w:rPr>
        <w:t>local communities</w:t>
      </w:r>
      <w:r w:rsidRPr="00C94519">
        <w:rPr>
          <w:lang w:bidi="en-US"/>
        </w:rPr>
        <w:t>, SDI</w:t>
      </w:r>
      <w:r w:rsidR="0008076E">
        <w:rPr>
          <w:lang w:bidi="en-US"/>
        </w:rPr>
        <w:t xml:space="preserve">, </w:t>
      </w:r>
      <w:r w:rsidRPr="00C94519">
        <w:rPr>
          <w:lang w:bidi="en-US"/>
        </w:rPr>
        <w:t xml:space="preserve">AAPS </w:t>
      </w:r>
      <w:r w:rsidR="0008076E">
        <w:rPr>
          <w:lang w:bidi="en-US"/>
        </w:rPr>
        <w:t>and university curricula</w:t>
      </w:r>
      <w:r w:rsidRPr="00C94519">
        <w:rPr>
          <w:lang w:bidi="en-US"/>
        </w:rPr>
        <w:t xml:space="preserve">. </w:t>
      </w:r>
    </w:p>
    <w:p w14:paraId="4904C100" w14:textId="77777777" w:rsidR="0008076E" w:rsidRDefault="0008076E" w:rsidP="00C94519">
      <w:pPr>
        <w:pStyle w:val="ListParagraph"/>
        <w:numPr>
          <w:ilvl w:val="0"/>
          <w:numId w:val="1"/>
        </w:numPr>
      </w:pPr>
      <w:r>
        <w:rPr>
          <w:lang w:bidi="en-US"/>
        </w:rPr>
        <w:t>S</w:t>
      </w:r>
      <w:r w:rsidR="00C94519" w:rsidRPr="00C94519">
        <w:rPr>
          <w:lang w:bidi="en-US"/>
        </w:rPr>
        <w:t>ettlements set</w:t>
      </w:r>
      <w:r>
        <w:rPr>
          <w:lang w:bidi="en-US"/>
        </w:rPr>
        <w:t>ting</w:t>
      </w:r>
      <w:r w:rsidR="00C94519" w:rsidRPr="00C94519">
        <w:rPr>
          <w:lang w:bidi="en-US"/>
        </w:rPr>
        <w:t xml:space="preserve"> a stronger precedent in</w:t>
      </w:r>
      <w:r>
        <w:rPr>
          <w:lang w:bidi="en-US"/>
        </w:rPr>
        <w:t xml:space="preserve"> terms of community mobilization and </w:t>
      </w:r>
      <w:r w:rsidRPr="0008076E">
        <w:rPr>
          <w:i/>
          <w:lang w:bidi="en-US"/>
        </w:rPr>
        <w:t xml:space="preserve">in </w:t>
      </w:r>
      <w:r w:rsidR="00C94519" w:rsidRPr="0008076E">
        <w:rPr>
          <w:i/>
          <w:lang w:bidi="en-US"/>
        </w:rPr>
        <w:t xml:space="preserve">situ </w:t>
      </w:r>
      <w:r w:rsidR="00C94519" w:rsidRPr="00C94519">
        <w:rPr>
          <w:lang w:bidi="en-US"/>
        </w:rPr>
        <w:t xml:space="preserve">incremental informal settlement upgrading </w:t>
      </w:r>
      <w:r>
        <w:rPr>
          <w:lang w:bidi="en-US"/>
        </w:rPr>
        <w:t xml:space="preserve">should be </w:t>
      </w:r>
      <w:r w:rsidR="00C94519" w:rsidRPr="00C94519">
        <w:rPr>
          <w:lang w:bidi="en-US"/>
        </w:rPr>
        <w:t xml:space="preserve">given preference. </w:t>
      </w:r>
    </w:p>
    <w:p w14:paraId="717F9C0D" w14:textId="242DB3D7" w:rsidR="00C94519" w:rsidRDefault="0008076E" w:rsidP="00C94519">
      <w:pPr>
        <w:pStyle w:val="ListParagraph"/>
        <w:numPr>
          <w:ilvl w:val="0"/>
          <w:numId w:val="1"/>
        </w:numPr>
      </w:pPr>
      <w:r>
        <w:rPr>
          <w:lang w:bidi="en-US"/>
        </w:rPr>
        <w:t>S</w:t>
      </w:r>
      <w:r w:rsidR="00C94519" w:rsidRPr="00C94519">
        <w:rPr>
          <w:lang w:bidi="en-US"/>
        </w:rPr>
        <w:t>tudio</w:t>
      </w:r>
      <w:r>
        <w:rPr>
          <w:lang w:bidi="en-US"/>
        </w:rPr>
        <w:t>s should seek to balance short-</w:t>
      </w:r>
      <w:r w:rsidR="00C94519" w:rsidRPr="00C94519">
        <w:rPr>
          <w:lang w:bidi="en-US"/>
        </w:rPr>
        <w:t xml:space="preserve">term </w:t>
      </w:r>
      <w:r w:rsidR="000603F4">
        <w:rPr>
          <w:lang w:bidi="en-US"/>
        </w:rPr>
        <w:t xml:space="preserve">development </w:t>
      </w:r>
      <w:r w:rsidR="00C94519" w:rsidRPr="00C94519">
        <w:rPr>
          <w:lang w:bidi="en-US"/>
        </w:rPr>
        <w:t>needs with broader issues around land, services and shelter.</w:t>
      </w:r>
    </w:p>
    <w:p w14:paraId="669970BC" w14:textId="77777777" w:rsidR="0008076E" w:rsidRPr="0008076E" w:rsidRDefault="0008076E" w:rsidP="00C94519">
      <w:pPr>
        <w:pStyle w:val="ListParagraph"/>
        <w:numPr>
          <w:ilvl w:val="0"/>
          <w:numId w:val="1"/>
        </w:numPr>
      </w:pPr>
      <w:r>
        <w:rPr>
          <w:lang w:val="en-US" w:bidi="en-US"/>
        </w:rPr>
        <w:t>C</w:t>
      </w:r>
      <w:r w:rsidR="00C94519" w:rsidRPr="00C94519">
        <w:rPr>
          <w:lang w:val="en-US" w:bidi="en-US"/>
        </w:rPr>
        <w:t xml:space="preserve">ommunities </w:t>
      </w:r>
      <w:r>
        <w:rPr>
          <w:lang w:val="en-US" w:bidi="en-US"/>
        </w:rPr>
        <w:t xml:space="preserve">should be engaged </w:t>
      </w:r>
      <w:r w:rsidR="00C94519" w:rsidRPr="00C94519">
        <w:rPr>
          <w:lang w:val="en-US" w:bidi="en-US"/>
        </w:rPr>
        <w:t xml:space="preserve">in a non-patronizing attitude, by recognizing the critical role of communities in expressing their conditions, needs and priorities. </w:t>
      </w:r>
    </w:p>
    <w:p w14:paraId="130949CF" w14:textId="1417A90A" w:rsidR="00C94519" w:rsidRPr="00C94519" w:rsidRDefault="0008076E" w:rsidP="00C94519">
      <w:pPr>
        <w:pStyle w:val="ListParagraph"/>
        <w:numPr>
          <w:ilvl w:val="0"/>
          <w:numId w:val="1"/>
        </w:numPr>
      </w:pPr>
      <w:r>
        <w:rPr>
          <w:lang w:val="en-US" w:bidi="en-US"/>
        </w:rPr>
        <w:t>Community-</w:t>
      </w:r>
      <w:r w:rsidR="00C94519" w:rsidRPr="00C94519">
        <w:rPr>
          <w:lang w:val="en-US" w:bidi="en-US"/>
        </w:rPr>
        <w:t xml:space="preserve">based enumeration and mapping </w:t>
      </w:r>
      <w:r>
        <w:rPr>
          <w:lang w:val="en-US" w:bidi="en-US"/>
        </w:rPr>
        <w:t xml:space="preserve">is </w:t>
      </w:r>
      <w:r w:rsidR="00C94519" w:rsidRPr="00C94519">
        <w:rPr>
          <w:lang w:val="en-US" w:bidi="en-US"/>
        </w:rPr>
        <w:t>an important mobilizing, orga</w:t>
      </w:r>
      <w:r>
        <w:rPr>
          <w:lang w:val="en-US" w:bidi="en-US"/>
        </w:rPr>
        <w:t>nizing and data collection tool, and the studios should seek to utilize and enhance this potential.</w:t>
      </w:r>
    </w:p>
    <w:p w14:paraId="05081C0D" w14:textId="08590E9C" w:rsidR="00C94519" w:rsidRPr="0008076E" w:rsidRDefault="00C94519" w:rsidP="00C94519">
      <w:pPr>
        <w:pStyle w:val="ListParagraph"/>
        <w:numPr>
          <w:ilvl w:val="0"/>
          <w:numId w:val="1"/>
        </w:numPr>
      </w:pPr>
      <w:r w:rsidRPr="00C94519">
        <w:rPr>
          <w:lang w:val="en-US" w:bidi="en-US"/>
        </w:rPr>
        <w:t xml:space="preserve">Planning is a dynamic process of negotiation and building consensus. In this spirit, student planners should be exposed to the real conditions and </w:t>
      </w:r>
      <w:r w:rsidRPr="00C94519">
        <w:rPr>
          <w:lang w:val="en-US" w:bidi="en-US"/>
        </w:rPr>
        <w:lastRenderedPageBreak/>
        <w:t>challenges of informal settlements, and not just limited to desk research or studio based planning.</w:t>
      </w:r>
    </w:p>
    <w:p w14:paraId="2D8C4B38" w14:textId="55BDFBBA" w:rsidR="0008076E" w:rsidRPr="00DF35BD" w:rsidRDefault="0008076E" w:rsidP="00C94519">
      <w:pPr>
        <w:pStyle w:val="ListParagraph"/>
        <w:numPr>
          <w:ilvl w:val="0"/>
          <w:numId w:val="1"/>
        </w:numPr>
      </w:pPr>
      <w:r>
        <w:rPr>
          <w:lang w:val="en-US" w:bidi="en-US"/>
        </w:rPr>
        <w:t>Studios should encourage the</w:t>
      </w:r>
      <w:r w:rsidRPr="0008076E">
        <w:rPr>
          <w:lang w:val="en-US" w:bidi="en-US"/>
        </w:rPr>
        <w:t xml:space="preserve"> involvement of other stakeholders</w:t>
      </w:r>
      <w:r>
        <w:rPr>
          <w:lang w:val="en-US" w:bidi="en-US"/>
        </w:rPr>
        <w:t>,</w:t>
      </w:r>
      <w:r w:rsidRPr="0008076E">
        <w:rPr>
          <w:lang w:val="en-US" w:bidi="en-US"/>
        </w:rPr>
        <w:t xml:space="preserve"> particularly </w:t>
      </w:r>
      <w:r>
        <w:rPr>
          <w:lang w:val="en-US" w:bidi="en-US"/>
        </w:rPr>
        <w:t xml:space="preserve">local government officials, consultants, as well as </w:t>
      </w:r>
      <w:r w:rsidRPr="0008076E">
        <w:rPr>
          <w:lang w:val="en-US" w:bidi="en-US"/>
        </w:rPr>
        <w:t>other</w:t>
      </w:r>
      <w:r>
        <w:rPr>
          <w:lang w:val="en-US" w:bidi="en-US"/>
        </w:rPr>
        <w:t xml:space="preserve"> non-governmental organizations (NGOs) and community-based organizations (CBO</w:t>
      </w:r>
      <w:r w:rsidRPr="0008076E">
        <w:rPr>
          <w:lang w:val="en-US" w:bidi="en-US"/>
        </w:rPr>
        <w:t>s</w:t>
      </w:r>
      <w:r>
        <w:rPr>
          <w:lang w:val="en-US" w:bidi="en-US"/>
        </w:rPr>
        <w:t>)</w:t>
      </w:r>
      <w:r w:rsidRPr="0008076E">
        <w:rPr>
          <w:lang w:val="en-US" w:bidi="en-US"/>
        </w:rPr>
        <w:t>. The studio is an opportunity to challenge the thinking of other actors within the city.</w:t>
      </w:r>
    </w:p>
    <w:p w14:paraId="57092375" w14:textId="77777777" w:rsidR="00DF35BD" w:rsidRDefault="00DF35BD" w:rsidP="00DF35BD"/>
    <w:p w14:paraId="2DF01FBC" w14:textId="474F0CFE" w:rsidR="00B54336" w:rsidRDefault="00B54336" w:rsidP="00DF35BD">
      <w:pPr>
        <w:pStyle w:val="Heading1"/>
        <w:numPr>
          <w:ilvl w:val="0"/>
          <w:numId w:val="11"/>
        </w:numPr>
      </w:pPr>
      <w:bookmarkStart w:id="13" w:name="_Toc271363668"/>
      <w:r>
        <w:t>Description of studio projects</w:t>
      </w:r>
      <w:bookmarkEnd w:id="13"/>
      <w:r w:rsidR="001840C9">
        <w:t xml:space="preserve"> </w:t>
      </w:r>
    </w:p>
    <w:p w14:paraId="6390DBD9" w14:textId="77777777" w:rsidR="00DF35BD" w:rsidRPr="00DF35BD" w:rsidRDefault="00DF35BD" w:rsidP="00DF35BD">
      <w:pPr>
        <w:pStyle w:val="ListParagraph"/>
      </w:pPr>
    </w:p>
    <w:p w14:paraId="1E5C9DCD" w14:textId="3618E62C" w:rsidR="00FA4684" w:rsidRDefault="003673C3" w:rsidP="00C86BFE">
      <w:r>
        <w:t xml:space="preserve">This section provides basic information on the various AAPS-SDI studio projects, in terms of their location, duration, the actors and institutions involved, the key issues addressed, and the characteristics of students involved. </w:t>
      </w:r>
    </w:p>
    <w:p w14:paraId="1CCE6C2E" w14:textId="77777777" w:rsidR="003673C3" w:rsidRDefault="003673C3" w:rsidP="00C86BFE"/>
    <w:p w14:paraId="7F597E74" w14:textId="155A7D26" w:rsidR="00FA4684" w:rsidRDefault="003673C3" w:rsidP="00EE6D02">
      <w:pPr>
        <w:rPr>
          <w:lang w:val="en-US"/>
        </w:rPr>
      </w:pPr>
      <w:r>
        <w:t xml:space="preserve">Two parallel studio projects were conducted in </w:t>
      </w:r>
      <w:r w:rsidR="00FA4684" w:rsidRPr="00EE6D02">
        <w:rPr>
          <w:b/>
        </w:rPr>
        <w:t>Malawi</w:t>
      </w:r>
      <w:r>
        <w:t xml:space="preserve"> from July to August 2012. One was held in </w:t>
      </w:r>
      <w:proofErr w:type="spellStart"/>
      <w:r w:rsidR="0090156C">
        <w:t>Nancholi</w:t>
      </w:r>
      <w:proofErr w:type="spellEnd"/>
      <w:r w:rsidR="0090156C">
        <w:t xml:space="preserve"> settlement</w:t>
      </w:r>
      <w:r w:rsidR="00EE6D02">
        <w:t xml:space="preserve"> in the city of Blantyre, and involved the</w:t>
      </w:r>
      <w:r w:rsidR="0090156C">
        <w:t xml:space="preserve"> </w:t>
      </w:r>
      <w:r w:rsidR="00F43125">
        <w:t>physical planning, architecture and land surveying departments of the University of Malawi</w:t>
      </w:r>
      <w:r w:rsidR="0017782C">
        <w:t>,</w:t>
      </w:r>
      <w:r w:rsidR="00F43125">
        <w:t xml:space="preserve"> The Polytechni</w:t>
      </w:r>
      <w:r w:rsidR="00EE6D02">
        <w:t>c</w:t>
      </w:r>
      <w:r w:rsidR="0017782C">
        <w:t>;</w:t>
      </w:r>
      <w:r w:rsidR="00F43125">
        <w:t xml:space="preserve"> </w:t>
      </w:r>
      <w:r w:rsidR="00EE6D02">
        <w:t xml:space="preserve">the </w:t>
      </w:r>
      <w:r w:rsidR="00F43125">
        <w:t>Malawi Homeless People’s Federation</w:t>
      </w:r>
      <w:r w:rsidR="00EE6D02">
        <w:t xml:space="preserve"> (MHPF)</w:t>
      </w:r>
      <w:r w:rsidR="0017782C">
        <w:t>;</w:t>
      </w:r>
      <w:r w:rsidR="00F43125">
        <w:t xml:space="preserve"> </w:t>
      </w:r>
      <w:r w:rsidR="00EE6D02">
        <w:t>as well as the NGO</w:t>
      </w:r>
      <w:r w:rsidR="0049326F">
        <w:t>,</w:t>
      </w:r>
      <w:r w:rsidR="00EE6D02">
        <w:t xml:space="preserve"> </w:t>
      </w:r>
      <w:r w:rsidR="00A74B02" w:rsidRPr="00EE6D02">
        <w:rPr>
          <w:lang w:val="en-US"/>
        </w:rPr>
        <w:t xml:space="preserve">Centre for Community </w:t>
      </w:r>
      <w:r w:rsidR="008637D8" w:rsidRPr="00EE6D02">
        <w:rPr>
          <w:lang w:val="en-US"/>
        </w:rPr>
        <w:t>Organization</w:t>
      </w:r>
      <w:r w:rsidR="00A74B02" w:rsidRPr="00EE6D02">
        <w:rPr>
          <w:lang w:val="en-US"/>
        </w:rPr>
        <w:t xml:space="preserve"> and Development (</w:t>
      </w:r>
      <w:r w:rsidR="00A74B02" w:rsidRPr="00EE6D02">
        <w:rPr>
          <w:bCs/>
          <w:lang w:val="en-US"/>
        </w:rPr>
        <w:t>CCODE</w:t>
      </w:r>
      <w:r w:rsidR="00A74B02" w:rsidRPr="00EE6D02">
        <w:rPr>
          <w:lang w:val="en-US"/>
        </w:rPr>
        <w:t>)</w:t>
      </w:r>
      <w:r w:rsidR="00EE6D02">
        <w:rPr>
          <w:lang w:val="en-US"/>
        </w:rPr>
        <w:t>. The project focused on</w:t>
      </w:r>
      <w:r w:rsidR="0017782C">
        <w:rPr>
          <w:lang w:val="en-US"/>
        </w:rPr>
        <w:t xml:space="preserve"> the</w:t>
      </w:r>
      <w:r w:rsidR="00EE6D02">
        <w:rPr>
          <w:lang w:val="en-US"/>
        </w:rPr>
        <w:t xml:space="preserve"> spatial layout, circulation and sanitation issues of </w:t>
      </w:r>
      <w:proofErr w:type="spellStart"/>
      <w:r w:rsidR="00EE6D02">
        <w:rPr>
          <w:lang w:val="en-US"/>
        </w:rPr>
        <w:t>Nancholi</w:t>
      </w:r>
      <w:proofErr w:type="spellEnd"/>
      <w:r w:rsidR="004E0321">
        <w:rPr>
          <w:lang w:val="en-US"/>
        </w:rPr>
        <w:t xml:space="preserve"> and was carried out by third- and fourth-year undergraduate students from the various departments</w:t>
      </w:r>
      <w:r w:rsidR="00EE6D02">
        <w:rPr>
          <w:lang w:val="en-US"/>
        </w:rPr>
        <w:t>.</w:t>
      </w:r>
      <w:r w:rsidR="0008677E">
        <w:rPr>
          <w:rStyle w:val="FootnoteReference"/>
          <w:lang w:val="en-US"/>
        </w:rPr>
        <w:footnoteReference w:id="2"/>
      </w:r>
      <w:r w:rsidR="00EE6D02">
        <w:rPr>
          <w:lang w:val="en-US"/>
        </w:rPr>
        <w:t xml:space="preserve"> The other </w:t>
      </w:r>
      <w:r w:rsidR="008637D8">
        <w:rPr>
          <w:lang w:val="en-US"/>
        </w:rPr>
        <w:t xml:space="preserve">Malawian </w:t>
      </w:r>
      <w:r w:rsidR="00EE6D02">
        <w:rPr>
          <w:lang w:val="en-US"/>
        </w:rPr>
        <w:t>studio was held in</w:t>
      </w:r>
      <w:r w:rsidR="000349B6">
        <w:t xml:space="preserve"> Salisbury Lines settlement</w:t>
      </w:r>
      <w:r w:rsidR="00EE6D02">
        <w:t xml:space="preserve"> in the city of </w:t>
      </w:r>
      <w:proofErr w:type="spellStart"/>
      <w:r w:rsidR="00EE6D02">
        <w:t>Mzuzu</w:t>
      </w:r>
      <w:proofErr w:type="spellEnd"/>
      <w:r w:rsidR="00EE6D02">
        <w:t xml:space="preserve">. It involved the </w:t>
      </w:r>
      <w:r w:rsidR="00F43125">
        <w:t xml:space="preserve">land management department of </w:t>
      </w:r>
      <w:proofErr w:type="spellStart"/>
      <w:r w:rsidR="00A74B02">
        <w:t>Mzuzu</w:t>
      </w:r>
      <w:proofErr w:type="spellEnd"/>
      <w:r w:rsidR="00A74B02">
        <w:t xml:space="preserve"> University, </w:t>
      </w:r>
      <w:r w:rsidR="00EE6D02">
        <w:t>MHPF</w:t>
      </w:r>
      <w:r w:rsidR="00F43125">
        <w:t xml:space="preserve">, </w:t>
      </w:r>
      <w:r w:rsidR="00A74B02" w:rsidRPr="00EE6D02">
        <w:rPr>
          <w:bCs/>
          <w:lang w:val="en-US"/>
        </w:rPr>
        <w:t>CCODE</w:t>
      </w:r>
      <w:r w:rsidR="00B464D8" w:rsidRPr="00EE6D02">
        <w:rPr>
          <w:lang w:val="en-US"/>
        </w:rPr>
        <w:t xml:space="preserve">, </w:t>
      </w:r>
      <w:r w:rsidR="00EE6D02">
        <w:rPr>
          <w:lang w:val="en-US"/>
        </w:rPr>
        <w:t xml:space="preserve">as well as the </w:t>
      </w:r>
      <w:proofErr w:type="spellStart"/>
      <w:r w:rsidR="00B464D8" w:rsidRPr="00EE6D02">
        <w:rPr>
          <w:lang w:val="en-US"/>
        </w:rPr>
        <w:t>Mzuz</w:t>
      </w:r>
      <w:r w:rsidR="00EE6D02">
        <w:rPr>
          <w:lang w:val="en-US"/>
        </w:rPr>
        <w:t>u</w:t>
      </w:r>
      <w:proofErr w:type="spellEnd"/>
      <w:r w:rsidR="00EE6D02">
        <w:rPr>
          <w:lang w:val="en-US"/>
        </w:rPr>
        <w:t xml:space="preserve"> municipal planning department, and focused on issues surrounding</w:t>
      </w:r>
      <w:r w:rsidR="00B464D8" w:rsidRPr="00EE6D02">
        <w:rPr>
          <w:lang w:val="en-US"/>
        </w:rPr>
        <w:t xml:space="preserve"> water and sanit</w:t>
      </w:r>
      <w:r w:rsidR="00EE6D02">
        <w:rPr>
          <w:lang w:val="en-US"/>
        </w:rPr>
        <w:t>ation, transport infrastructure, and</w:t>
      </w:r>
      <w:r w:rsidR="00B464D8" w:rsidRPr="00EE6D02">
        <w:rPr>
          <w:lang w:val="en-US"/>
        </w:rPr>
        <w:t xml:space="preserve"> electricity services</w:t>
      </w:r>
      <w:r w:rsidR="00612434">
        <w:rPr>
          <w:lang w:val="en-US"/>
        </w:rPr>
        <w:t>. Second-year undergraduate students participated in this project</w:t>
      </w:r>
      <w:r w:rsidR="00EE6D02">
        <w:rPr>
          <w:lang w:val="en-US"/>
        </w:rPr>
        <w:t>.</w:t>
      </w:r>
      <w:r w:rsidR="0008677E">
        <w:rPr>
          <w:rStyle w:val="FootnoteReference"/>
          <w:lang w:val="en-US"/>
        </w:rPr>
        <w:footnoteReference w:id="3"/>
      </w:r>
    </w:p>
    <w:p w14:paraId="60B70D12" w14:textId="77777777" w:rsidR="00EE6D02" w:rsidRPr="00EE6D02" w:rsidRDefault="00EE6D02" w:rsidP="00EE6D02">
      <w:pPr>
        <w:rPr>
          <w:lang w:val="en-US"/>
        </w:rPr>
      </w:pPr>
    </w:p>
    <w:p w14:paraId="0279D73C" w14:textId="16590430" w:rsidR="00F73FB0" w:rsidRDefault="0049326F" w:rsidP="0049326F">
      <w:r>
        <w:t xml:space="preserve">The </w:t>
      </w:r>
      <w:r w:rsidR="00FA4684" w:rsidRPr="0049326F">
        <w:rPr>
          <w:b/>
        </w:rPr>
        <w:t>Uganda</w:t>
      </w:r>
      <w:r>
        <w:t xml:space="preserve"> studio project took place over four months during the course of 2012. Employing a slightly different model to the other projects, the studio focused on settlements in </w:t>
      </w:r>
      <w:r w:rsidR="00E14856">
        <w:t xml:space="preserve">Kampala and </w:t>
      </w:r>
      <w:proofErr w:type="spellStart"/>
      <w:r w:rsidR="00F73FB0" w:rsidRPr="00F73FB0">
        <w:t>Jinja</w:t>
      </w:r>
      <w:proofErr w:type="spellEnd"/>
      <w:r w:rsidR="00F73FB0" w:rsidRPr="00F73FB0">
        <w:t xml:space="preserve">, </w:t>
      </w:r>
      <w:proofErr w:type="spellStart"/>
      <w:r w:rsidR="00F73FB0" w:rsidRPr="00F73FB0">
        <w:t>Mbarara</w:t>
      </w:r>
      <w:proofErr w:type="spellEnd"/>
      <w:r w:rsidR="00F73FB0" w:rsidRPr="00F73FB0">
        <w:t xml:space="preserve">, </w:t>
      </w:r>
      <w:proofErr w:type="spellStart"/>
      <w:r w:rsidR="00F73FB0" w:rsidRPr="00F73FB0">
        <w:t>Arua</w:t>
      </w:r>
      <w:proofErr w:type="spellEnd"/>
      <w:r w:rsidR="00F73FB0" w:rsidRPr="00F73FB0">
        <w:t xml:space="preserve">, </w:t>
      </w:r>
      <w:proofErr w:type="spellStart"/>
      <w:r w:rsidR="00F73FB0" w:rsidRPr="00F73FB0">
        <w:t>Kabale</w:t>
      </w:r>
      <w:proofErr w:type="spellEnd"/>
      <w:r w:rsidR="00F73FB0" w:rsidRPr="00F73FB0">
        <w:t xml:space="preserve">, and </w:t>
      </w:r>
      <w:proofErr w:type="spellStart"/>
      <w:r w:rsidR="00F73FB0" w:rsidRPr="00F73FB0">
        <w:t>Mbale</w:t>
      </w:r>
      <w:proofErr w:type="spellEnd"/>
      <w:r w:rsidR="00E14856">
        <w:t xml:space="preserve"> municipalities</w:t>
      </w:r>
      <w:r>
        <w:t>. It involved the architecture and physical planning department at</w:t>
      </w:r>
      <w:r w:rsidR="00F73FB0" w:rsidRPr="00F73FB0">
        <w:t xml:space="preserve"> Makerere University</w:t>
      </w:r>
      <w:r w:rsidR="00F73FB0">
        <w:t xml:space="preserve">, </w:t>
      </w:r>
      <w:r>
        <w:t xml:space="preserve">the </w:t>
      </w:r>
      <w:r w:rsidR="00F73FB0" w:rsidRPr="00F73FB0">
        <w:t xml:space="preserve">National Slum Dwellers Federation of Uganda (NSDFU), </w:t>
      </w:r>
      <w:proofErr w:type="spellStart"/>
      <w:r w:rsidR="00F73FB0">
        <w:t>ACTogether</w:t>
      </w:r>
      <w:proofErr w:type="spellEnd"/>
      <w:r w:rsidR="00F73FB0">
        <w:t xml:space="preserve"> Uganda, </w:t>
      </w:r>
      <w:r>
        <w:t xml:space="preserve">as well as visiting students from </w:t>
      </w:r>
      <w:r w:rsidR="00F73FB0" w:rsidRPr="00F73FB0">
        <w:t>New School University</w:t>
      </w:r>
      <w:r>
        <w:t xml:space="preserve"> (New York).</w:t>
      </w:r>
      <w:r w:rsidR="00E14856">
        <w:t xml:space="preserve"> </w:t>
      </w:r>
      <w:r>
        <w:t>Ninety-six</w:t>
      </w:r>
      <w:r w:rsidR="002B7347">
        <w:t xml:space="preserve"> </w:t>
      </w:r>
      <w:r w:rsidR="00E14856">
        <w:t xml:space="preserve">third-year urban </w:t>
      </w:r>
      <w:r>
        <w:t>and regional planning students participated in the project.</w:t>
      </w:r>
      <w:r w:rsidR="00267F64">
        <w:rPr>
          <w:rStyle w:val="FootnoteReference"/>
        </w:rPr>
        <w:footnoteReference w:id="4"/>
      </w:r>
    </w:p>
    <w:p w14:paraId="08B8B93D" w14:textId="77777777" w:rsidR="0049326F" w:rsidRDefault="0049326F" w:rsidP="0049326F"/>
    <w:p w14:paraId="2980F68A" w14:textId="020550DC" w:rsidR="00B95438" w:rsidRDefault="0049326F" w:rsidP="0049326F">
      <w:r>
        <w:t xml:space="preserve">A studio project was organized in </w:t>
      </w:r>
      <w:r w:rsidR="00952C5B" w:rsidRPr="0049326F">
        <w:rPr>
          <w:b/>
        </w:rPr>
        <w:t>Kenya</w:t>
      </w:r>
      <w:r w:rsidR="00883A69">
        <w:t xml:space="preserve">, </w:t>
      </w:r>
      <w:r w:rsidR="00CB0CCE">
        <w:t>specifically</w:t>
      </w:r>
      <w:r w:rsidR="00883A69">
        <w:t xml:space="preserve"> the </w:t>
      </w:r>
      <w:proofErr w:type="spellStart"/>
      <w:r w:rsidR="00B95438">
        <w:t>Kiandutu</w:t>
      </w:r>
      <w:proofErr w:type="spellEnd"/>
      <w:r w:rsidR="00232C30">
        <w:t xml:space="preserve"> settlement</w:t>
      </w:r>
      <w:r>
        <w:t xml:space="preserve"> </w:t>
      </w:r>
      <w:r w:rsidR="00883A69">
        <w:t xml:space="preserve">located </w:t>
      </w:r>
      <w:r>
        <w:t xml:space="preserve">in </w:t>
      </w:r>
      <w:proofErr w:type="spellStart"/>
      <w:r>
        <w:t>Thika</w:t>
      </w:r>
      <w:proofErr w:type="spellEnd"/>
      <w:r>
        <w:t xml:space="preserve">. The primary project partners included the </w:t>
      </w:r>
      <w:r w:rsidRPr="0049326F">
        <w:t>Department of Urban and Regional Planning</w:t>
      </w:r>
      <w:r>
        <w:t xml:space="preserve"> at University of Nairobi, as well as the NGO, </w:t>
      </w:r>
      <w:proofErr w:type="spellStart"/>
      <w:r w:rsidRPr="0049326F">
        <w:t>Muungano</w:t>
      </w:r>
      <w:proofErr w:type="spellEnd"/>
      <w:r w:rsidRPr="0049326F">
        <w:t xml:space="preserve"> Support Trust (</w:t>
      </w:r>
      <w:proofErr w:type="spellStart"/>
      <w:r w:rsidRPr="0049326F">
        <w:t>MuST</w:t>
      </w:r>
      <w:proofErr w:type="spellEnd"/>
      <w:r w:rsidRPr="0049326F">
        <w:t>)</w:t>
      </w:r>
      <w:r w:rsidR="00883A69">
        <w:t xml:space="preserve">. The studio process focused on the issue of </w:t>
      </w:r>
      <w:r w:rsidR="00B95438">
        <w:t>sanitation</w:t>
      </w:r>
      <w:r w:rsidR="00883A69">
        <w:t>.</w:t>
      </w:r>
      <w:r w:rsidR="00267F64">
        <w:rPr>
          <w:rStyle w:val="FootnoteReference"/>
        </w:rPr>
        <w:footnoteReference w:id="5"/>
      </w:r>
      <w:r w:rsidR="00DC2CEF">
        <w:t xml:space="preserve"> At the time of writing</w:t>
      </w:r>
      <w:r w:rsidR="0017782C">
        <w:t>,</w:t>
      </w:r>
      <w:r w:rsidR="00DC2CEF">
        <w:t xml:space="preserve"> this studio and the evaluation report had not yet been completed. </w:t>
      </w:r>
    </w:p>
    <w:p w14:paraId="2B9003F2" w14:textId="77777777" w:rsidR="00883A69" w:rsidRDefault="00883A69" w:rsidP="0049326F"/>
    <w:p w14:paraId="7817D8EA" w14:textId="5C91BEEB" w:rsidR="00DC2CEF" w:rsidRDefault="00883A69" w:rsidP="00DC2CEF">
      <w:r>
        <w:t xml:space="preserve">In </w:t>
      </w:r>
      <w:r w:rsidR="00952C5B" w:rsidRPr="00883A69">
        <w:rPr>
          <w:b/>
        </w:rPr>
        <w:t>Namibia</w:t>
      </w:r>
      <w:r>
        <w:t xml:space="preserve">, a studio was conducted in </w:t>
      </w:r>
      <w:r w:rsidR="00232C30">
        <w:t xml:space="preserve">Freedom </w:t>
      </w:r>
      <w:r w:rsidR="00810870">
        <w:t>Square</w:t>
      </w:r>
      <w:r>
        <w:t xml:space="preserve"> settlement, and involved the</w:t>
      </w:r>
      <w:r w:rsidR="00232C30">
        <w:t xml:space="preserve"> </w:t>
      </w:r>
      <w:r w:rsidR="00F43125" w:rsidRPr="00883A69">
        <w:rPr>
          <w:lang w:val="en-US"/>
        </w:rPr>
        <w:t>land management and architecture departments</w:t>
      </w:r>
      <w:r w:rsidR="00232C30" w:rsidRPr="00883A69">
        <w:rPr>
          <w:lang w:val="en-US"/>
        </w:rPr>
        <w:t xml:space="preserve"> of the Polytechnic of Namibia, </w:t>
      </w:r>
      <w:r>
        <w:rPr>
          <w:lang w:val="en-US"/>
        </w:rPr>
        <w:t xml:space="preserve">the </w:t>
      </w:r>
      <w:r w:rsidR="00232C30" w:rsidRPr="00883A69">
        <w:rPr>
          <w:lang w:val="en-US"/>
        </w:rPr>
        <w:t>Shack Dwellers</w:t>
      </w:r>
      <w:r>
        <w:rPr>
          <w:lang w:val="en-US"/>
        </w:rPr>
        <w:t>’</w:t>
      </w:r>
      <w:r w:rsidR="00232C30" w:rsidRPr="00883A69">
        <w:rPr>
          <w:lang w:val="en-US"/>
        </w:rPr>
        <w:t xml:space="preserve"> Federation of Namibia (SDFN), </w:t>
      </w:r>
      <w:r>
        <w:rPr>
          <w:lang w:val="en-US"/>
        </w:rPr>
        <w:t xml:space="preserve">the </w:t>
      </w:r>
      <w:r w:rsidR="00232C30" w:rsidRPr="00883A69">
        <w:rPr>
          <w:lang w:val="en-US"/>
        </w:rPr>
        <w:t>Namibia Housing Action Group (NHAG)</w:t>
      </w:r>
      <w:r w:rsidR="006A13CE" w:rsidRPr="00883A69">
        <w:rPr>
          <w:lang w:val="en-US"/>
        </w:rPr>
        <w:t xml:space="preserve">, </w:t>
      </w:r>
      <w:r>
        <w:rPr>
          <w:lang w:val="en-US"/>
        </w:rPr>
        <w:t xml:space="preserve">as well as the </w:t>
      </w:r>
      <w:r w:rsidR="006A13CE" w:rsidRPr="00883A69">
        <w:rPr>
          <w:lang w:val="en-US"/>
        </w:rPr>
        <w:t xml:space="preserve">Municipality of </w:t>
      </w:r>
      <w:proofErr w:type="spellStart"/>
      <w:r w:rsidR="006A13CE" w:rsidRPr="00883A69">
        <w:rPr>
          <w:lang w:val="en-US"/>
        </w:rPr>
        <w:t>Gobabis</w:t>
      </w:r>
      <w:proofErr w:type="spellEnd"/>
      <w:r>
        <w:rPr>
          <w:lang w:val="en-US"/>
        </w:rPr>
        <w:t xml:space="preserve">. The project focused on </w:t>
      </w:r>
      <w:r w:rsidR="00922D7D" w:rsidRPr="00883A69">
        <w:rPr>
          <w:lang w:val="en-US"/>
        </w:rPr>
        <w:t>water supply and sanitation</w:t>
      </w:r>
      <w:r>
        <w:rPr>
          <w:lang w:val="en-US"/>
        </w:rPr>
        <w:t xml:space="preserve"> issues, and commenced in September 2013.</w:t>
      </w:r>
      <w:r w:rsidR="00267F64">
        <w:rPr>
          <w:rStyle w:val="FootnoteReference"/>
          <w:lang w:val="en-US"/>
        </w:rPr>
        <w:footnoteReference w:id="6"/>
      </w:r>
      <w:r w:rsidR="00DC2CEF">
        <w:rPr>
          <w:lang w:val="en-US"/>
        </w:rPr>
        <w:t xml:space="preserve"> </w:t>
      </w:r>
      <w:r w:rsidR="00DC2CEF">
        <w:t>At the time of writing</w:t>
      </w:r>
      <w:r w:rsidR="0017782C">
        <w:t xml:space="preserve">, </w:t>
      </w:r>
      <w:r w:rsidR="00DC2CEF">
        <w:t xml:space="preserve">this studio and the evaluation report had not yet been completed. </w:t>
      </w:r>
    </w:p>
    <w:p w14:paraId="0020A31E" w14:textId="77777777" w:rsidR="00883A69" w:rsidRDefault="00883A69" w:rsidP="00883A69"/>
    <w:p w14:paraId="02ECCA8B" w14:textId="16142187" w:rsidR="00072232" w:rsidRDefault="00F9254D" w:rsidP="00F9254D">
      <w:r>
        <w:t xml:space="preserve">For </w:t>
      </w:r>
      <w:r w:rsidR="00952C5B" w:rsidRPr="00F9254D">
        <w:rPr>
          <w:b/>
        </w:rPr>
        <w:t>Tanzania</w:t>
      </w:r>
      <w:r>
        <w:t xml:space="preserve">, the studio project addressed two different informal urban sites, both focusing on </w:t>
      </w:r>
      <w:r w:rsidRPr="00F9254D">
        <w:rPr>
          <w:lang w:val="en-US"/>
        </w:rPr>
        <w:t>water, sanitation and storm-water management</w:t>
      </w:r>
      <w:r>
        <w:rPr>
          <w:lang w:val="en-US"/>
        </w:rPr>
        <w:t xml:space="preserve"> issues. The first was </w:t>
      </w:r>
      <w:proofErr w:type="spellStart"/>
      <w:r w:rsidR="00AE26E2" w:rsidRPr="00F9254D">
        <w:rPr>
          <w:lang w:val="en-US"/>
        </w:rPr>
        <w:t>Kombo</w:t>
      </w:r>
      <w:proofErr w:type="spellEnd"/>
      <w:r w:rsidR="00AE26E2" w:rsidRPr="00F9254D">
        <w:rPr>
          <w:lang w:val="en-US"/>
        </w:rPr>
        <w:t xml:space="preserve"> settlement (population 36</w:t>
      </w:r>
      <w:r>
        <w:rPr>
          <w:lang w:val="en-US"/>
        </w:rPr>
        <w:t xml:space="preserve">,000), while the second was </w:t>
      </w:r>
      <w:proofErr w:type="spellStart"/>
      <w:r w:rsidR="00AE26E2" w:rsidRPr="00F9254D">
        <w:rPr>
          <w:lang w:val="en-US"/>
        </w:rPr>
        <w:t>Maganga</w:t>
      </w:r>
      <w:proofErr w:type="spellEnd"/>
      <w:r w:rsidR="00AE26E2" w:rsidRPr="00F9254D">
        <w:rPr>
          <w:lang w:val="en-US"/>
        </w:rPr>
        <w:t xml:space="preserve"> settlement (population 9</w:t>
      </w:r>
      <w:r>
        <w:rPr>
          <w:lang w:val="en-US"/>
        </w:rPr>
        <w:t xml:space="preserve">,000). The primary project partners included the </w:t>
      </w:r>
      <w:r w:rsidR="00810870" w:rsidRPr="00F9254D">
        <w:rPr>
          <w:lang w:val="en-US"/>
        </w:rPr>
        <w:t>Department of Housing and Infrastructure Planning</w:t>
      </w:r>
      <w:r>
        <w:rPr>
          <w:lang w:val="en-US"/>
        </w:rPr>
        <w:t xml:space="preserve"> of </w:t>
      </w:r>
      <w:proofErr w:type="spellStart"/>
      <w:r w:rsidR="00072232">
        <w:t>Ardhi</w:t>
      </w:r>
      <w:proofErr w:type="spellEnd"/>
      <w:r w:rsidR="00072232">
        <w:t xml:space="preserve"> University, </w:t>
      </w:r>
      <w:r>
        <w:t xml:space="preserve">the </w:t>
      </w:r>
      <w:r w:rsidR="00072232" w:rsidRPr="00072232">
        <w:t>Centre for Community Initiatives (CCI)</w:t>
      </w:r>
      <w:r>
        <w:t xml:space="preserve">, as well as </w:t>
      </w:r>
      <w:proofErr w:type="spellStart"/>
      <w:r>
        <w:t>Temeke</w:t>
      </w:r>
      <w:proofErr w:type="spellEnd"/>
      <w:r>
        <w:t xml:space="preserve"> and </w:t>
      </w:r>
      <w:proofErr w:type="spellStart"/>
      <w:r>
        <w:t>Ilala</w:t>
      </w:r>
      <w:proofErr w:type="spellEnd"/>
      <w:r>
        <w:t xml:space="preserve"> municipalities. T</w:t>
      </w:r>
      <w:r w:rsidR="00072232">
        <w:t>hird-year students</w:t>
      </w:r>
      <w:r>
        <w:t xml:space="preserve"> participated in the studio, which took place from</w:t>
      </w:r>
      <w:r w:rsidR="00072232">
        <w:t xml:space="preserve"> March to June 2013</w:t>
      </w:r>
      <w:r>
        <w:t>.</w:t>
      </w:r>
      <w:r w:rsidR="00EC096B">
        <w:rPr>
          <w:rStyle w:val="FootnoteReference"/>
        </w:rPr>
        <w:footnoteReference w:id="7"/>
      </w:r>
      <w:r w:rsidR="00DC2CEF">
        <w:t xml:space="preserve"> </w:t>
      </w:r>
      <w:proofErr w:type="gramStart"/>
      <w:r w:rsidR="00DC2CEF">
        <w:t xml:space="preserve">No </w:t>
      </w:r>
      <w:r w:rsidR="0017782C">
        <w:t xml:space="preserve">studio </w:t>
      </w:r>
      <w:r w:rsidR="00DC2CEF">
        <w:t xml:space="preserve">evaluation report </w:t>
      </w:r>
      <w:r w:rsidR="00D91BBB">
        <w:t>has been</w:t>
      </w:r>
      <w:r w:rsidR="00DC2CEF">
        <w:t xml:space="preserve"> produced by </w:t>
      </w:r>
      <w:proofErr w:type="spellStart"/>
      <w:r w:rsidR="00DC2CEF">
        <w:t>Ardhi</w:t>
      </w:r>
      <w:proofErr w:type="spellEnd"/>
      <w:r w:rsidR="00DC2CEF">
        <w:t xml:space="preserve"> </w:t>
      </w:r>
      <w:r w:rsidR="0017782C">
        <w:t>University</w:t>
      </w:r>
      <w:r w:rsidR="00DC2CEF">
        <w:t xml:space="preserve"> or SDI</w:t>
      </w:r>
      <w:proofErr w:type="gramEnd"/>
      <w:r w:rsidR="006F43C8">
        <w:t>.</w:t>
      </w:r>
    </w:p>
    <w:p w14:paraId="1155194D" w14:textId="77777777" w:rsidR="006F43C8" w:rsidRDefault="006F43C8" w:rsidP="00F9254D"/>
    <w:p w14:paraId="54FC9FB2" w14:textId="0D87CD7B" w:rsidR="006F43C8" w:rsidRDefault="00D91BBB" w:rsidP="00F9254D">
      <w:r>
        <w:t xml:space="preserve">Aside from these studios, which </w:t>
      </w:r>
      <w:r w:rsidR="0017782C">
        <w:t xml:space="preserve">were funded by the Rockefeller Foundation, </w:t>
      </w:r>
      <w:proofErr w:type="gramStart"/>
      <w:r w:rsidR="0017782C">
        <w:t xml:space="preserve">similar projects </w:t>
      </w:r>
      <w:r>
        <w:t>were</w:t>
      </w:r>
      <w:r w:rsidR="0017782C">
        <w:t xml:space="preserve"> arranged by AAPS </w:t>
      </w:r>
      <w:r>
        <w:t>members</w:t>
      </w:r>
      <w:proofErr w:type="gramEnd"/>
      <w:r>
        <w:t xml:space="preserve"> </w:t>
      </w:r>
      <w:r w:rsidR="0017782C">
        <w:t xml:space="preserve">and SDI </w:t>
      </w:r>
      <w:r>
        <w:t xml:space="preserve">affiliates in Cape Town in 2012 and 2014 (involving the University of Cape Town), and Lusaka in 2014 (involving the University of Zambia). Lessons from all these studio projects fed into a workshop meeting on community engagement in planning education jointly organised by AAPS and SDI in Cape Town in February 2012. </w:t>
      </w:r>
    </w:p>
    <w:p w14:paraId="5D6BA8E7" w14:textId="77777777" w:rsidR="00FA4684" w:rsidRDefault="00FA4684" w:rsidP="00C86BFE"/>
    <w:p w14:paraId="013476A1" w14:textId="77777777" w:rsidR="006D593F" w:rsidRDefault="006D593F">
      <w:pPr>
        <w:rPr>
          <w:rFonts w:asciiTheme="majorHAnsi" w:eastAsiaTheme="majorEastAsia" w:hAnsiTheme="majorHAnsi" w:cstheme="majorBidi"/>
          <w:b/>
          <w:bCs/>
          <w:color w:val="345A8A" w:themeColor="accent1" w:themeShade="B5"/>
          <w:sz w:val="32"/>
          <w:szCs w:val="32"/>
        </w:rPr>
      </w:pPr>
      <w:bookmarkStart w:id="14" w:name="_Toc271363669"/>
      <w:r>
        <w:br w:type="page"/>
      </w:r>
    </w:p>
    <w:p w14:paraId="1583C1EF" w14:textId="05C8BE2D" w:rsidR="00056015" w:rsidRDefault="00FA4684" w:rsidP="00056015">
      <w:pPr>
        <w:pStyle w:val="Heading1"/>
        <w:numPr>
          <w:ilvl w:val="0"/>
          <w:numId w:val="11"/>
        </w:numPr>
      </w:pPr>
      <w:r>
        <w:lastRenderedPageBreak/>
        <w:t>Lessons learnt</w:t>
      </w:r>
      <w:bookmarkEnd w:id="14"/>
    </w:p>
    <w:p w14:paraId="386F4FCC" w14:textId="77777777" w:rsidR="00FA4684" w:rsidRDefault="00FA4684" w:rsidP="00C86BFE"/>
    <w:p w14:paraId="21551F66" w14:textId="2DC39183" w:rsidR="00C86BFE" w:rsidRDefault="00C86BFE" w:rsidP="00637B2E">
      <w:pPr>
        <w:pStyle w:val="Heading2"/>
        <w:numPr>
          <w:ilvl w:val="1"/>
          <w:numId w:val="11"/>
        </w:numPr>
      </w:pPr>
      <w:bookmarkStart w:id="15" w:name="_Toc271363670"/>
      <w:r>
        <w:t>Studio preparation</w:t>
      </w:r>
      <w:bookmarkEnd w:id="15"/>
    </w:p>
    <w:p w14:paraId="74F9C9E7" w14:textId="77777777" w:rsidR="00637B2E" w:rsidRPr="00637B2E" w:rsidRDefault="00637B2E" w:rsidP="00637B2E">
      <w:pPr>
        <w:pStyle w:val="ListParagraph"/>
        <w:ind w:left="760"/>
      </w:pPr>
    </w:p>
    <w:p w14:paraId="66F8BDD3" w14:textId="36F412EB" w:rsidR="00F6192F" w:rsidRDefault="00F6192F" w:rsidP="00637B2E">
      <w:pPr>
        <w:rPr>
          <w:i/>
        </w:rPr>
      </w:pPr>
      <w:r>
        <w:rPr>
          <w:i/>
        </w:rPr>
        <w:t>Planning a studio project</w:t>
      </w:r>
    </w:p>
    <w:p w14:paraId="15DF6A0C" w14:textId="77777777" w:rsidR="00F6192F" w:rsidRDefault="00F6192F" w:rsidP="00637B2E">
      <w:pPr>
        <w:rPr>
          <w:i/>
        </w:rPr>
      </w:pPr>
    </w:p>
    <w:p w14:paraId="4C86A2ED" w14:textId="0FCCB7F9" w:rsidR="00F6192F" w:rsidRDefault="00F6192F" w:rsidP="00637B2E">
      <w:r>
        <w:t xml:space="preserve">Running a community-based planning studio in an informal urban setting is no simple task. It requires time, resources and commitment from all project partners to make </w:t>
      </w:r>
      <w:r w:rsidR="008637D8">
        <w:t xml:space="preserve">it a valuable exercise, from the perspective of </w:t>
      </w:r>
      <w:r w:rsidR="000603F4">
        <w:t xml:space="preserve">both </w:t>
      </w:r>
      <w:r w:rsidR="008637D8">
        <w:t>the university and the local community.</w:t>
      </w:r>
    </w:p>
    <w:p w14:paraId="0C4EBEC9" w14:textId="77777777" w:rsidR="008637D8" w:rsidRDefault="008637D8" w:rsidP="00637B2E"/>
    <w:p w14:paraId="63BC88C1" w14:textId="3EDB87CD" w:rsidR="008637D8" w:rsidRPr="00F6192F" w:rsidRDefault="008637D8" w:rsidP="00637B2E">
      <w:r>
        <w:t xml:space="preserve">AAPS member universities interested in conducting a collaborative studio with </w:t>
      </w:r>
      <w:r w:rsidR="00334AE2">
        <w:t xml:space="preserve">a local </w:t>
      </w:r>
      <w:r>
        <w:t xml:space="preserve">SDI </w:t>
      </w:r>
      <w:r w:rsidR="00334AE2">
        <w:t xml:space="preserve">affiliate </w:t>
      </w:r>
      <w:r>
        <w:t>were first asked to describe how the studio project</w:t>
      </w:r>
      <w:r w:rsidR="00334AE2">
        <w:t xml:space="preserve"> would fit into or complement</w:t>
      </w:r>
      <w:r>
        <w:t xml:space="preserve"> their planning curriculum. The schools were asked to consider which students (i.e. from which department and year of study) would be best suited to participate in the project. For some universities this was not a problem, as studio courses already constituted part of their curriculum and were seen as an important technique in training planners. </w:t>
      </w:r>
      <w:r w:rsidR="00B206A4">
        <w:t xml:space="preserve">This was an ideal situation, as the objectives and modalities of the existing studio project simply had to be altered </w:t>
      </w:r>
      <w:r w:rsidR="00334AE2">
        <w:t xml:space="preserve">or </w:t>
      </w:r>
      <w:r w:rsidR="00B206A4">
        <w:t xml:space="preserve">refined. </w:t>
      </w:r>
      <w:r>
        <w:t>However, in other cases the studios had to be arranged in par</w:t>
      </w:r>
      <w:r w:rsidR="00334AE2">
        <w:t>allel to the normal curriculum,</w:t>
      </w:r>
      <w:r>
        <w:t xml:space="preserve"> as a kind of extra-mural event. This </w:t>
      </w:r>
      <w:r w:rsidR="00D6269D">
        <w:t xml:space="preserve">situation can create issues relating to staff and student commitment, if these actors do not see the value in participating in an event regarded as being ‘beyond the brief’. For the most part this was not an issue, as the involvement of community and NGO partners </w:t>
      </w:r>
      <w:r w:rsidR="00DE01B0">
        <w:t>can add</w:t>
      </w:r>
      <w:r w:rsidR="00D6269D">
        <w:t xml:space="preserve"> a sense of urgency and importance to studio proceedings. Nevertheless, these are factors </w:t>
      </w:r>
      <w:r w:rsidR="00B206A4">
        <w:t xml:space="preserve">worth considering before </w:t>
      </w:r>
      <w:r w:rsidR="00EE3A2C">
        <w:t>deciding to embark</w:t>
      </w:r>
      <w:r w:rsidR="00B206A4">
        <w:t xml:space="preserve"> on such a project.</w:t>
      </w:r>
    </w:p>
    <w:p w14:paraId="6F972E7D" w14:textId="77777777" w:rsidR="00F6192F" w:rsidRDefault="00F6192F" w:rsidP="00637B2E">
      <w:pPr>
        <w:rPr>
          <w:i/>
        </w:rPr>
      </w:pPr>
    </w:p>
    <w:p w14:paraId="36921925" w14:textId="78A3D2F9" w:rsidR="00AE26E2" w:rsidRPr="00637B2E" w:rsidRDefault="00AE26E2" w:rsidP="00637B2E">
      <w:pPr>
        <w:rPr>
          <w:i/>
        </w:rPr>
      </w:pPr>
      <w:r w:rsidRPr="00637B2E">
        <w:rPr>
          <w:i/>
        </w:rPr>
        <w:t xml:space="preserve">Choosing a </w:t>
      </w:r>
      <w:r w:rsidR="00D56C3E" w:rsidRPr="00637B2E">
        <w:rPr>
          <w:i/>
        </w:rPr>
        <w:t xml:space="preserve">community and </w:t>
      </w:r>
      <w:r w:rsidR="00637B2E">
        <w:rPr>
          <w:i/>
        </w:rPr>
        <w:t xml:space="preserve">studio </w:t>
      </w:r>
      <w:r w:rsidR="00D56C3E" w:rsidRPr="00637B2E">
        <w:rPr>
          <w:i/>
        </w:rPr>
        <w:t xml:space="preserve">project </w:t>
      </w:r>
      <w:r w:rsidRPr="00637B2E">
        <w:rPr>
          <w:i/>
        </w:rPr>
        <w:t>site</w:t>
      </w:r>
    </w:p>
    <w:p w14:paraId="5B2824BD" w14:textId="77777777" w:rsidR="00637B2E" w:rsidRDefault="00637B2E" w:rsidP="00637B2E"/>
    <w:p w14:paraId="1DDB72CA" w14:textId="64254AF7" w:rsidR="00AE26E2" w:rsidRDefault="00637B2E" w:rsidP="00637B2E">
      <w:r>
        <w:t>Experiences from the AAPS-SDI studio series show</w:t>
      </w:r>
      <w:r w:rsidR="00F6192F">
        <w:t>ed</w:t>
      </w:r>
      <w:r>
        <w:t xml:space="preserve"> that it is often u</w:t>
      </w:r>
      <w:r w:rsidR="00AE26E2">
        <w:t xml:space="preserve">seful to choose a site </w:t>
      </w:r>
      <w:r>
        <w:t xml:space="preserve">that has already been </w:t>
      </w:r>
      <w:r w:rsidR="00AE26E2">
        <w:t xml:space="preserve">targeted by previous interventions </w:t>
      </w:r>
      <w:r>
        <w:t xml:space="preserve">from </w:t>
      </w:r>
      <w:r w:rsidR="00AE26E2">
        <w:t>the local</w:t>
      </w:r>
      <w:r>
        <w:t xml:space="preserve"> government</w:t>
      </w:r>
      <w:r w:rsidR="00AE26E2">
        <w:t xml:space="preserve">, the SDI federation or </w:t>
      </w:r>
      <w:r>
        <w:t xml:space="preserve">external development agencies. These agencies are </w:t>
      </w:r>
      <w:r w:rsidR="00B12804">
        <w:t xml:space="preserve">potential </w:t>
      </w:r>
      <w:r w:rsidR="00AE26E2">
        <w:t>source</w:t>
      </w:r>
      <w:r w:rsidR="00B12804">
        <w:t>s</w:t>
      </w:r>
      <w:r w:rsidR="00AE26E2">
        <w:t xml:space="preserve"> of </w:t>
      </w:r>
      <w:r w:rsidR="00B12804">
        <w:t xml:space="preserve">not only </w:t>
      </w:r>
      <w:r w:rsidR="00AE26E2">
        <w:t>funding</w:t>
      </w:r>
      <w:r w:rsidR="00B12804">
        <w:t xml:space="preserve"> for project activities (or even implementation of development proposals emerging from the project), but also </w:t>
      </w:r>
      <w:r w:rsidR="007C7DFC">
        <w:t>maps and resources that can be used as part of the studio process</w:t>
      </w:r>
      <w:r w:rsidR="00B12804">
        <w:t>, providing baseline statistics and helping to identify project focus areas.</w:t>
      </w:r>
    </w:p>
    <w:p w14:paraId="21A612CB" w14:textId="77777777" w:rsidR="00B12804" w:rsidRDefault="00B12804" w:rsidP="00B12804"/>
    <w:p w14:paraId="590DAF61" w14:textId="3247B083" w:rsidR="005A1745" w:rsidRDefault="00B12804" w:rsidP="00B12804">
      <w:r>
        <w:t xml:space="preserve">In choosing a project site it may be helpful to </w:t>
      </w:r>
      <w:r w:rsidR="005A1745">
        <w:t xml:space="preserve">produce and complete settlement profile sheets, as </w:t>
      </w:r>
      <w:r>
        <w:t>was done during</w:t>
      </w:r>
      <w:r w:rsidR="005A1745">
        <w:t xml:space="preserve"> the Tanza</w:t>
      </w:r>
      <w:r>
        <w:t xml:space="preserve">nian studio (an example of a settlement profile sheet is </w:t>
      </w:r>
      <w:r w:rsidRPr="00CF56A5">
        <w:t>attached as A</w:t>
      </w:r>
      <w:r w:rsidR="005A1745" w:rsidRPr="00CF56A5">
        <w:t>ppendix</w:t>
      </w:r>
      <w:r w:rsidRPr="00CF56A5">
        <w:t xml:space="preserve"> </w:t>
      </w:r>
      <w:r w:rsidR="00CF56A5">
        <w:t>1</w:t>
      </w:r>
      <w:r w:rsidR="005A1745">
        <w:t>)</w:t>
      </w:r>
      <w:r>
        <w:t xml:space="preserve">. These can help the university </w:t>
      </w:r>
      <w:r w:rsidR="003237CE">
        <w:t>or NGO partner to easily compare and assess the merits of working in different local settlements.</w:t>
      </w:r>
    </w:p>
    <w:p w14:paraId="532DE59D" w14:textId="77777777" w:rsidR="00F23718" w:rsidRDefault="00F23718" w:rsidP="00B12804"/>
    <w:p w14:paraId="22CEA9DA" w14:textId="504F7711" w:rsidR="00F23718" w:rsidRDefault="00F23718" w:rsidP="00B12804">
      <w:r>
        <w:t>For most of the AAPS-SDI studios</w:t>
      </w:r>
      <w:r w:rsidR="00BA3E13">
        <w:t>,</w:t>
      </w:r>
      <w:r>
        <w:t xml:space="preserve"> </w:t>
      </w:r>
      <w:r w:rsidR="00BA3E13">
        <w:t xml:space="preserve">university partners were able to engage </w:t>
      </w:r>
      <w:r w:rsidR="007E7E93">
        <w:t>local</w:t>
      </w:r>
      <w:r w:rsidR="00BA3E13">
        <w:t xml:space="preserve"> communities though the relevant SDI federation</w:t>
      </w:r>
      <w:r w:rsidR="007E7E93">
        <w:t>, which could then act as a key intermediary between the various parties</w:t>
      </w:r>
      <w:r w:rsidR="00BA3E13">
        <w:t xml:space="preserve">. However, in the case of the Salisbury </w:t>
      </w:r>
      <w:r w:rsidR="00BA3E13">
        <w:lastRenderedPageBreak/>
        <w:t>Lines project, the settlement lacked an active federation. This called for careful preparatory work:</w:t>
      </w:r>
    </w:p>
    <w:p w14:paraId="378C39A0" w14:textId="77777777" w:rsidR="00BA3E13" w:rsidRDefault="00BA3E13" w:rsidP="00B12804"/>
    <w:p w14:paraId="18B9216A" w14:textId="67B0E644" w:rsidR="00BA3E13" w:rsidRPr="00BA3E13" w:rsidRDefault="00BA3E13" w:rsidP="00BA3E13">
      <w:pPr>
        <w:ind w:left="720"/>
        <w:rPr>
          <w:i/>
        </w:rPr>
      </w:pPr>
      <w:r w:rsidRPr="00BA3E13">
        <w:rPr>
          <w:i/>
          <w:lang w:val="en-US"/>
        </w:rPr>
        <w:t xml:space="preserve">Forging of new networks became essential. Staff from </w:t>
      </w:r>
      <w:proofErr w:type="spellStart"/>
      <w:r w:rsidRPr="00BA3E13">
        <w:rPr>
          <w:i/>
          <w:lang w:val="en-US"/>
        </w:rPr>
        <w:t>Mzuzu</w:t>
      </w:r>
      <w:proofErr w:type="spellEnd"/>
      <w:r w:rsidRPr="00BA3E13">
        <w:rPr>
          <w:i/>
          <w:lang w:val="en-US"/>
        </w:rPr>
        <w:t xml:space="preserve"> University utilized previous engagements to reach both </w:t>
      </w:r>
      <w:r>
        <w:rPr>
          <w:i/>
          <w:lang w:val="en-US"/>
        </w:rPr>
        <w:t xml:space="preserve">the </w:t>
      </w:r>
      <w:r w:rsidRPr="00BA3E13">
        <w:rPr>
          <w:i/>
          <w:lang w:val="en-US"/>
        </w:rPr>
        <w:t>local community and MHPF</w:t>
      </w:r>
      <w:r>
        <w:rPr>
          <w:i/>
          <w:lang w:val="en-US"/>
        </w:rPr>
        <w:t>,</w:t>
      </w:r>
      <w:r w:rsidRPr="00BA3E13">
        <w:rPr>
          <w:i/>
          <w:lang w:val="en-US"/>
        </w:rPr>
        <w:t xml:space="preserve"> while MHPF itself sought to establish a new branch in the area. Introducing the studio to the community in Salisbury Line</w:t>
      </w:r>
      <w:r>
        <w:rPr>
          <w:i/>
          <w:lang w:val="en-US"/>
        </w:rPr>
        <w:t>s was key to cultivating</w:t>
      </w:r>
      <w:r w:rsidRPr="00BA3E13">
        <w:rPr>
          <w:i/>
          <w:lang w:val="en-US"/>
        </w:rPr>
        <w:t xml:space="preserve"> their interest in the </w:t>
      </w:r>
      <w:r>
        <w:rPr>
          <w:i/>
          <w:lang w:val="en-US"/>
        </w:rPr>
        <w:t xml:space="preserve">project </w:t>
      </w:r>
      <w:r w:rsidRPr="00BA3E13">
        <w:rPr>
          <w:i/>
          <w:lang w:val="en-US"/>
        </w:rPr>
        <w:t>not simply as an academic exercise for students</w:t>
      </w:r>
      <w:r>
        <w:rPr>
          <w:i/>
          <w:lang w:val="en-US"/>
        </w:rPr>
        <w:t>,</w:t>
      </w:r>
      <w:r w:rsidRPr="00BA3E13">
        <w:rPr>
          <w:i/>
          <w:lang w:val="en-US"/>
        </w:rPr>
        <w:t xml:space="preserve"> but one that would ultimately lead to </w:t>
      </w:r>
      <w:r>
        <w:rPr>
          <w:i/>
          <w:lang w:val="en-US"/>
        </w:rPr>
        <w:t xml:space="preserve">an </w:t>
      </w:r>
      <w:r w:rsidRPr="00BA3E13">
        <w:rPr>
          <w:i/>
          <w:lang w:val="en-US"/>
        </w:rPr>
        <w:t>improvement in living standards and livelihoods. Prior visits by lecturers to the area to meet with leaders had to be undertaken.</w:t>
      </w:r>
    </w:p>
    <w:p w14:paraId="0277FFA3" w14:textId="77777777" w:rsidR="003237CE" w:rsidRDefault="003237CE" w:rsidP="00B12804"/>
    <w:p w14:paraId="69C9BD6F" w14:textId="06F204D9" w:rsidR="008F0895" w:rsidRPr="003237CE" w:rsidRDefault="008F0895" w:rsidP="003237CE">
      <w:pPr>
        <w:rPr>
          <w:i/>
        </w:rPr>
      </w:pPr>
      <w:r w:rsidRPr="003237CE">
        <w:rPr>
          <w:i/>
        </w:rPr>
        <w:t>Choosing a studio focus</w:t>
      </w:r>
    </w:p>
    <w:p w14:paraId="50058CA2" w14:textId="77777777" w:rsidR="003237CE" w:rsidRDefault="003237CE" w:rsidP="003237CE"/>
    <w:p w14:paraId="066451A7" w14:textId="3000DF0D" w:rsidR="00364B41" w:rsidRDefault="003237CE" w:rsidP="003237CE">
      <w:r>
        <w:t>The</w:t>
      </w:r>
      <w:r w:rsidR="00364B41">
        <w:t xml:space="preserve"> thematic</w:t>
      </w:r>
      <w:r>
        <w:t xml:space="preserve"> focus of an educational studio </w:t>
      </w:r>
      <w:r w:rsidR="00364B41">
        <w:t>targeting</w:t>
      </w:r>
      <w:r>
        <w:t xml:space="preserve"> community-based settlement upgrading can be informed by various factors. Firstly, the choice will be informed by the types and </w:t>
      </w:r>
      <w:r w:rsidR="008F0895">
        <w:t xml:space="preserve">level of skills and knowledge held by </w:t>
      </w:r>
      <w:r w:rsidR="00364B41">
        <w:t xml:space="preserve">the students. It makes little sense to ask students to provide workable upgrading solutions in relation to a topic with which they are not familiar or adequately competent in practical terms. </w:t>
      </w:r>
    </w:p>
    <w:p w14:paraId="2C79B3FD" w14:textId="77777777" w:rsidR="00364B41" w:rsidRDefault="00364B41" w:rsidP="003237CE"/>
    <w:p w14:paraId="53FAC893" w14:textId="101D4782" w:rsidR="00364B41" w:rsidRDefault="00364B41" w:rsidP="003237CE">
      <w:r>
        <w:t>Secondly, the desired learning outcomes of the project, in relation to the educational curriculum as a whole, will bear on any choice of topic or theme. This issue also impacts on the scale at which local problems are to be analysed and addressed.</w:t>
      </w:r>
    </w:p>
    <w:p w14:paraId="1427714C" w14:textId="77777777" w:rsidR="00364B41" w:rsidRDefault="00364B41" w:rsidP="003237CE"/>
    <w:p w14:paraId="2B098D2B" w14:textId="73DF69C9" w:rsidR="002C6449" w:rsidRDefault="00364B41" w:rsidP="002C6449">
      <w:r>
        <w:t xml:space="preserve">Thirdly, and most importantly, the choice of studio theme(s) will be determined </w:t>
      </w:r>
      <w:r w:rsidR="008F0895">
        <w:t xml:space="preserve">by </w:t>
      </w:r>
      <w:r w:rsidR="00322B57">
        <w:t xml:space="preserve">the </w:t>
      </w:r>
      <w:r>
        <w:t xml:space="preserve">development </w:t>
      </w:r>
      <w:r w:rsidR="00322B57">
        <w:t xml:space="preserve">needs and priorities of the </w:t>
      </w:r>
      <w:r w:rsidR="00EA0302">
        <w:t xml:space="preserve">participating </w:t>
      </w:r>
      <w:r w:rsidR="00322B57">
        <w:t>local community</w:t>
      </w:r>
      <w:r>
        <w:t xml:space="preserve">. </w:t>
      </w:r>
      <w:r w:rsidR="00322B57">
        <w:t xml:space="preserve">If an SDI federation </w:t>
      </w:r>
      <w:r>
        <w:t xml:space="preserve">or another agency </w:t>
      </w:r>
      <w:r w:rsidR="00322B57">
        <w:t xml:space="preserve">has already </w:t>
      </w:r>
      <w:r>
        <w:t>worked</w:t>
      </w:r>
      <w:r w:rsidR="00322B57">
        <w:t xml:space="preserve"> with the community</w:t>
      </w:r>
      <w:r w:rsidR="001C22A4">
        <w:t xml:space="preserve"> residing in</w:t>
      </w:r>
      <w:r>
        <w:t xml:space="preserve"> a particular settlement</w:t>
      </w:r>
      <w:r w:rsidR="00322B57">
        <w:t>, it is likely that that process would hav</w:t>
      </w:r>
      <w:r>
        <w:t xml:space="preserve">e identified several key issues and </w:t>
      </w:r>
      <w:r w:rsidR="00322B57">
        <w:t>priorities that could form the focus of subsequent work</w:t>
      </w:r>
      <w:r>
        <w:t xml:space="preserve">. This was the case in the </w:t>
      </w:r>
      <w:r w:rsidR="00B54336">
        <w:t>Tanzania</w:t>
      </w:r>
      <w:r>
        <w:t>n studio, where key project themes were</w:t>
      </w:r>
      <w:r w:rsidR="00B54336">
        <w:t xml:space="preserve"> </w:t>
      </w:r>
      <w:r w:rsidR="002C6449">
        <w:t xml:space="preserve">selected </w:t>
      </w:r>
      <w:r w:rsidR="00B54336">
        <w:t xml:space="preserve">by </w:t>
      </w:r>
      <w:r w:rsidR="002C6449">
        <w:t xml:space="preserve">the </w:t>
      </w:r>
      <w:r w:rsidR="00B54336">
        <w:t xml:space="preserve">federation based on </w:t>
      </w:r>
      <w:r w:rsidR="002C6449">
        <w:t xml:space="preserve">their </w:t>
      </w:r>
      <w:r w:rsidR="00B54336">
        <w:t xml:space="preserve">previous work </w:t>
      </w:r>
      <w:r w:rsidR="002C6449">
        <w:t xml:space="preserve">conducted </w:t>
      </w:r>
      <w:r w:rsidR="00B54336">
        <w:t>in the area</w:t>
      </w:r>
      <w:r w:rsidR="002C6449">
        <w:t>.</w:t>
      </w:r>
    </w:p>
    <w:p w14:paraId="549725AF" w14:textId="77777777" w:rsidR="002C6449" w:rsidRDefault="002C6449" w:rsidP="002C6449"/>
    <w:p w14:paraId="71AB7BAF" w14:textId="7EFC160B" w:rsidR="003B7931" w:rsidRDefault="002C6449" w:rsidP="002C6449">
      <w:r>
        <w:t>Fourthly, s</w:t>
      </w:r>
      <w:r w:rsidR="003B7931">
        <w:t xml:space="preserve">ome </w:t>
      </w:r>
      <w:r>
        <w:t xml:space="preserve">priority </w:t>
      </w:r>
      <w:r w:rsidR="003B7931">
        <w:t>issues will be inf</w:t>
      </w:r>
      <w:r>
        <w:t xml:space="preserve">ormed by geographical features in combination with the realities of </w:t>
      </w:r>
      <w:r w:rsidR="003B7931">
        <w:t>service deficits in the area</w:t>
      </w:r>
      <w:r>
        <w:t>. For example, t</w:t>
      </w:r>
      <w:r w:rsidR="009D0458">
        <w:t>he</w:t>
      </w:r>
      <w:r w:rsidR="003B7931">
        <w:t xml:space="preserve"> fact that the terrain of </w:t>
      </w:r>
      <w:proofErr w:type="spellStart"/>
      <w:r w:rsidR="003B7931">
        <w:t>Nancholi</w:t>
      </w:r>
      <w:proofErr w:type="spellEnd"/>
      <w:r w:rsidR="003B7931">
        <w:t xml:space="preserve"> settlement is extremely rugged, with steep inclines, </w:t>
      </w:r>
      <w:r w:rsidR="009D0458">
        <w:t>coupled with</w:t>
      </w:r>
      <w:r w:rsidR="003B7931">
        <w:t xml:space="preserve"> the lack of a networked sewer infrastructure</w:t>
      </w:r>
      <w:r>
        <w:t xml:space="preserve"> in the area</w:t>
      </w:r>
      <w:r w:rsidR="003B7931">
        <w:t>, made circulation and drainage issues a key priority</w:t>
      </w:r>
      <w:r>
        <w:t xml:space="preserve"> for this project. </w:t>
      </w:r>
      <w:r w:rsidR="003B7931">
        <w:t>Similarly, Salisbury Lines settlement</w:t>
      </w:r>
      <w:r w:rsidR="009D0458">
        <w:t xml:space="preserve"> is situated on a wetland with limited infrastructure services, meaning transportation, water and sanitation services </w:t>
      </w:r>
      <w:r w:rsidR="007049FC">
        <w:t>emerged as</w:t>
      </w:r>
      <w:r w:rsidR="009D0458">
        <w:t xml:space="preserve"> key </w:t>
      </w:r>
      <w:r w:rsidR="007049FC">
        <w:t>development issues for the community</w:t>
      </w:r>
      <w:r w:rsidR="009D0458">
        <w:t>.</w:t>
      </w:r>
      <w:r w:rsidR="003B7931">
        <w:t xml:space="preserve"> </w:t>
      </w:r>
    </w:p>
    <w:p w14:paraId="394D4643" w14:textId="77777777" w:rsidR="007049FC" w:rsidRDefault="007049FC" w:rsidP="007049FC"/>
    <w:p w14:paraId="76C3ECFA" w14:textId="7C39BFA5" w:rsidR="008F0895" w:rsidRDefault="007049FC" w:rsidP="007049FC">
      <w:r>
        <w:t>Finally, s</w:t>
      </w:r>
      <w:r w:rsidR="001C22A4">
        <w:t>ome</w:t>
      </w:r>
      <w:r>
        <w:t xml:space="preserve"> priority</w:t>
      </w:r>
      <w:r w:rsidR="001C22A4">
        <w:t xml:space="preserve"> issue</w:t>
      </w:r>
      <w:r w:rsidR="003B7931">
        <w:t xml:space="preserve">s will present themselves on a </w:t>
      </w:r>
      <w:r>
        <w:t>more fortuitous basis. In the</w:t>
      </w:r>
      <w:r w:rsidR="001C22A4">
        <w:t xml:space="preserve"> Tanzania</w:t>
      </w:r>
      <w:r>
        <w:t xml:space="preserve">n case, the studio was conducted during </w:t>
      </w:r>
      <w:r w:rsidR="008F0895" w:rsidRPr="008F0895">
        <w:t xml:space="preserve">a rainy season in Dar </w:t>
      </w:r>
      <w:proofErr w:type="spellStart"/>
      <w:r w:rsidR="008F0895" w:rsidRPr="008F0895">
        <w:t>es</w:t>
      </w:r>
      <w:proofErr w:type="spellEnd"/>
      <w:r w:rsidR="008F0895" w:rsidRPr="008F0895">
        <w:t xml:space="preserve"> Salaam, </w:t>
      </w:r>
      <w:r>
        <w:t xml:space="preserve">which meant that </w:t>
      </w:r>
      <w:r w:rsidR="008F0895" w:rsidRPr="008F0895">
        <w:t>drainage and sanitation issues</w:t>
      </w:r>
      <w:r w:rsidR="00B54336">
        <w:t xml:space="preserve"> </w:t>
      </w:r>
      <w:r w:rsidR="008F0895" w:rsidRPr="008F0895">
        <w:t>dominated the discussions</w:t>
      </w:r>
      <w:r>
        <w:t xml:space="preserve"> of local development challenges</w:t>
      </w:r>
      <w:r w:rsidR="008F0895" w:rsidRPr="008F0895">
        <w:t>.</w:t>
      </w:r>
    </w:p>
    <w:p w14:paraId="172D1EC7" w14:textId="77777777" w:rsidR="007049FC" w:rsidRDefault="007049FC" w:rsidP="007049FC"/>
    <w:p w14:paraId="03B95CC0" w14:textId="08C5C870" w:rsidR="007B5EA7" w:rsidRPr="007B5EA7" w:rsidRDefault="007B5EA7" w:rsidP="007049FC">
      <w:pPr>
        <w:rPr>
          <w:i/>
        </w:rPr>
      </w:pPr>
      <w:r w:rsidRPr="007B5EA7">
        <w:rPr>
          <w:i/>
        </w:rPr>
        <w:lastRenderedPageBreak/>
        <w:t>Managing expectations</w:t>
      </w:r>
    </w:p>
    <w:p w14:paraId="7927D93C" w14:textId="77777777" w:rsidR="007B5EA7" w:rsidRDefault="007B5EA7" w:rsidP="007049FC"/>
    <w:p w14:paraId="2E247408" w14:textId="6267F8F8" w:rsidR="00431AE2" w:rsidRDefault="007B5EA7" w:rsidP="007B5EA7">
      <w:r>
        <w:t>A key l</w:t>
      </w:r>
      <w:r w:rsidR="00431AE2">
        <w:t xml:space="preserve">esson from </w:t>
      </w:r>
      <w:r w:rsidR="00186CF4">
        <w:t>both the AAPS-SDI</w:t>
      </w:r>
      <w:r>
        <w:t xml:space="preserve"> studio series</w:t>
      </w:r>
      <w:r w:rsidR="00431AE2">
        <w:t xml:space="preserve"> and </w:t>
      </w:r>
      <w:r>
        <w:t xml:space="preserve">the </w:t>
      </w:r>
      <w:r w:rsidR="00431AE2">
        <w:t>general literature on com</w:t>
      </w:r>
      <w:r w:rsidR="00186CF4">
        <w:t xml:space="preserve">munity service learning </w:t>
      </w:r>
      <w:r w:rsidR="004B0E64">
        <w:t xml:space="preserve">(see Appendix 2 for a list of references) </w:t>
      </w:r>
      <w:r w:rsidR="00186CF4">
        <w:t>emphasiz</w:t>
      </w:r>
      <w:r w:rsidR="00431AE2">
        <w:t xml:space="preserve">es the need to set out </w:t>
      </w:r>
      <w:r>
        <w:t xml:space="preserve">clearly </w:t>
      </w:r>
      <w:r w:rsidR="00575726">
        <w:t xml:space="preserve">the </w:t>
      </w:r>
      <w:r w:rsidR="00186CF4">
        <w:t xml:space="preserve">project </w:t>
      </w:r>
      <w:r w:rsidR="00575726">
        <w:t xml:space="preserve">objectives, as well as </w:t>
      </w:r>
      <w:r w:rsidR="00431AE2">
        <w:t xml:space="preserve">the roles </w:t>
      </w:r>
      <w:r w:rsidR="00575726">
        <w:t xml:space="preserve">and expectations </w:t>
      </w:r>
      <w:r w:rsidR="00431AE2">
        <w:t xml:space="preserve">of the </w:t>
      </w:r>
      <w:r>
        <w:t xml:space="preserve">various </w:t>
      </w:r>
      <w:r w:rsidR="00431AE2">
        <w:t>actors in</w:t>
      </w:r>
      <w:r w:rsidR="00575726">
        <w:t>volved</w:t>
      </w:r>
      <w:r>
        <w:t>, as a means of managing the expectations of studio partners</w:t>
      </w:r>
      <w:r w:rsidR="00431AE2">
        <w:t>.</w:t>
      </w:r>
      <w:r w:rsidR="00186CF4">
        <w:t xml:space="preserve"> In particular</w:t>
      </w:r>
      <w:r>
        <w:t>, projects fail</w:t>
      </w:r>
      <w:r w:rsidR="00186CF4">
        <w:t>ing</w:t>
      </w:r>
      <w:r>
        <w:t xml:space="preserve"> to meet </w:t>
      </w:r>
      <w:r w:rsidR="00186CF4">
        <w:t xml:space="preserve">the </w:t>
      </w:r>
      <w:r>
        <w:t xml:space="preserve">expectations </w:t>
      </w:r>
      <w:r w:rsidR="00186CF4">
        <w:t xml:space="preserve">of local poor communities </w:t>
      </w:r>
      <w:r w:rsidR="003E61CB">
        <w:t>are</w:t>
      </w:r>
      <w:r w:rsidR="00186CF4">
        <w:t xml:space="preserve"> often a source of ‘community fatigue’ and may serve to undermine trust between the project partners, thereby threatening the sustainability of the partnership.</w:t>
      </w:r>
    </w:p>
    <w:p w14:paraId="3871A734" w14:textId="33E13A3A" w:rsidR="00FD406D" w:rsidRDefault="00FD406D" w:rsidP="00186CF4">
      <w:pPr>
        <w:pStyle w:val="ListParagraph"/>
        <w:ind w:left="1440"/>
      </w:pPr>
    </w:p>
    <w:p w14:paraId="153E1D68" w14:textId="63BD7422" w:rsidR="007835E7" w:rsidRDefault="00186CF4" w:rsidP="00186CF4">
      <w:r>
        <w:t>In s</w:t>
      </w:r>
      <w:r w:rsidR="007835E7">
        <w:t>etting out objectives of the studio project</w:t>
      </w:r>
      <w:r>
        <w:t>, it is important to note that d</w:t>
      </w:r>
      <w:r w:rsidR="007835E7">
        <w:t xml:space="preserve">ifferent projects may have different objectives, depending on </w:t>
      </w:r>
      <w:r>
        <w:t xml:space="preserve">issues including </w:t>
      </w:r>
      <w:r w:rsidR="007835E7">
        <w:t>the needs of the local community, the status of local government planning processes in the project</w:t>
      </w:r>
      <w:r>
        <w:t xml:space="preserve"> area</w:t>
      </w:r>
      <w:r w:rsidR="007835E7">
        <w:t>, the level and types of s</w:t>
      </w:r>
      <w:r>
        <w:t>kills possessed by students, the desired learning outcomes, and so on. In most cases, the</w:t>
      </w:r>
      <w:r w:rsidR="009E6E94">
        <w:t xml:space="preserve"> various AAPS-SDI</w:t>
      </w:r>
      <w:r>
        <w:t xml:space="preserve"> studio projects sought to collect and analyse data as a basis to propose development solutions in the locality concerned. </w:t>
      </w:r>
      <w:r w:rsidR="009E6E94">
        <w:t xml:space="preserve">As in the Tanzanian studio, the learning objectives were </w:t>
      </w:r>
      <w:r w:rsidR="009E6E94" w:rsidRPr="009E6E94">
        <w:t xml:space="preserve">to </w:t>
      </w:r>
      <w:r w:rsidR="009E6E94" w:rsidRPr="009E6E94">
        <w:rPr>
          <w:lang w:val="en-US"/>
        </w:rPr>
        <w:t xml:space="preserve">enable the students to identify a planning problem, </w:t>
      </w:r>
      <w:r w:rsidR="009E6E94">
        <w:rPr>
          <w:lang w:val="en-US"/>
        </w:rPr>
        <w:t xml:space="preserve">to </w:t>
      </w:r>
      <w:r w:rsidR="009E6E94" w:rsidRPr="009E6E94">
        <w:rPr>
          <w:lang w:val="en-US"/>
        </w:rPr>
        <w:t xml:space="preserve">develop </w:t>
      </w:r>
      <w:r w:rsidR="009E6E94">
        <w:rPr>
          <w:lang w:val="en-US"/>
        </w:rPr>
        <w:t xml:space="preserve">appropriate </w:t>
      </w:r>
      <w:r w:rsidR="009E6E94" w:rsidRPr="009E6E94">
        <w:rPr>
          <w:lang w:val="en-US"/>
        </w:rPr>
        <w:t>plans and designs</w:t>
      </w:r>
      <w:r w:rsidR="009E6E94">
        <w:rPr>
          <w:lang w:val="en-US"/>
        </w:rPr>
        <w:t>,</w:t>
      </w:r>
      <w:r w:rsidR="009E6E94" w:rsidRPr="009E6E94">
        <w:rPr>
          <w:lang w:val="en-US"/>
        </w:rPr>
        <w:t xml:space="preserve"> and to present a report</w:t>
      </w:r>
      <w:r w:rsidR="009E6E94">
        <w:rPr>
          <w:lang w:val="en-US"/>
        </w:rPr>
        <w:t xml:space="preserve"> effectively</w:t>
      </w:r>
      <w:r w:rsidR="009E6E94" w:rsidRPr="009E6E94">
        <w:rPr>
          <w:lang w:val="en-US"/>
        </w:rPr>
        <w:t>.</w:t>
      </w:r>
      <w:r w:rsidR="009E6E94">
        <w:rPr>
          <w:lang w:val="en-US"/>
        </w:rPr>
        <w:t xml:space="preserve"> </w:t>
      </w:r>
      <w:r>
        <w:t xml:space="preserve">However, the </w:t>
      </w:r>
      <w:r w:rsidR="007835E7">
        <w:t>Uganda</w:t>
      </w:r>
      <w:r>
        <w:t>n studio adopted a different approach. Here the</w:t>
      </w:r>
      <w:r w:rsidR="007835E7">
        <w:t xml:space="preserve"> </w:t>
      </w:r>
      <w:r w:rsidR="007835E7" w:rsidRPr="007835E7">
        <w:t xml:space="preserve">main objective of the exercise was to </w:t>
      </w:r>
      <w:r w:rsidR="007835E7">
        <w:t xml:space="preserve">verify and </w:t>
      </w:r>
      <w:r w:rsidR="007835E7" w:rsidRPr="007835E7">
        <w:t xml:space="preserve">analyse </w:t>
      </w:r>
      <w:r w:rsidR="007835E7">
        <w:t xml:space="preserve">(previously collected) </w:t>
      </w:r>
      <w:r w:rsidR="007835E7" w:rsidRPr="007835E7">
        <w:t>enumeration data</w:t>
      </w:r>
      <w:r w:rsidR="007835E7">
        <w:t xml:space="preserve">, </w:t>
      </w:r>
      <w:r w:rsidR="007835E7" w:rsidRPr="007835E7">
        <w:t xml:space="preserve">and </w:t>
      </w:r>
      <w:r>
        <w:t xml:space="preserve">to </w:t>
      </w:r>
      <w:r w:rsidR="00555FBB">
        <w:t>organiz</w:t>
      </w:r>
      <w:r w:rsidR="007835E7" w:rsidRPr="007835E7">
        <w:t xml:space="preserve">e </w:t>
      </w:r>
      <w:r w:rsidR="007835E7">
        <w:t xml:space="preserve">these data into </w:t>
      </w:r>
      <w:r w:rsidR="007835E7" w:rsidRPr="007835E7">
        <w:t xml:space="preserve">reports for the </w:t>
      </w:r>
      <w:r w:rsidR="007835E7">
        <w:t xml:space="preserve">various </w:t>
      </w:r>
      <w:r w:rsidR="007835E7" w:rsidRPr="007835E7">
        <w:t xml:space="preserve">municipalities to use in </w:t>
      </w:r>
      <w:r w:rsidR="007835E7">
        <w:t xml:space="preserve">the course of developing </w:t>
      </w:r>
      <w:r w:rsidR="007835E7" w:rsidRPr="007835E7">
        <w:t xml:space="preserve">their strategic development plans. </w:t>
      </w:r>
      <w:r w:rsidR="007835E7">
        <w:t xml:space="preserve">The </w:t>
      </w:r>
      <w:r w:rsidR="007835E7" w:rsidRPr="007835E7">
        <w:t>verification exercise arose out of community needs to present concise reports to authorities about their areas in order to create awareness and leverage resources.</w:t>
      </w:r>
      <w:r w:rsidR="007835E7">
        <w:t xml:space="preserve"> </w:t>
      </w:r>
      <w:r>
        <w:t>It was intended that t</w:t>
      </w:r>
      <w:r w:rsidR="007835E7" w:rsidRPr="007835E7">
        <w:t xml:space="preserve">hrough the exercise students </w:t>
      </w:r>
      <w:r w:rsidR="007835E7">
        <w:t>would</w:t>
      </w:r>
      <w:r w:rsidR="007835E7" w:rsidRPr="007835E7">
        <w:t xml:space="preserve"> be expos</w:t>
      </w:r>
      <w:r w:rsidR="007835E7">
        <w:t>ed to the strength of community-</w:t>
      </w:r>
      <w:r w:rsidR="007835E7" w:rsidRPr="007835E7">
        <w:t xml:space="preserve">collected </w:t>
      </w:r>
      <w:r w:rsidR="007835E7">
        <w:t xml:space="preserve">data, would gain skills related to the </w:t>
      </w:r>
      <w:r w:rsidR="007835E7" w:rsidRPr="007835E7">
        <w:t>p</w:t>
      </w:r>
      <w:r>
        <w:t>roduction of quality, standardiz</w:t>
      </w:r>
      <w:r w:rsidR="007835E7" w:rsidRPr="007835E7">
        <w:t>ed reports</w:t>
      </w:r>
      <w:r w:rsidR="007835E7">
        <w:t>,</w:t>
      </w:r>
      <w:r w:rsidR="007835E7" w:rsidRPr="007835E7">
        <w:t xml:space="preserve"> while building a relationship </w:t>
      </w:r>
      <w:r w:rsidR="007835E7">
        <w:t>between local communities and the u</w:t>
      </w:r>
      <w:r w:rsidR="007835E7" w:rsidRPr="007835E7">
        <w:t>niversity.</w:t>
      </w:r>
    </w:p>
    <w:p w14:paraId="7AE90228" w14:textId="77777777" w:rsidR="00186CF4" w:rsidRDefault="00186CF4" w:rsidP="00186CF4"/>
    <w:p w14:paraId="1946A17C" w14:textId="1F0BD42A" w:rsidR="00E57F32" w:rsidRDefault="00186CF4" w:rsidP="009E6E94">
      <w:r>
        <w:t>A key means of managing expectations</w:t>
      </w:r>
      <w:r w:rsidR="009E6E94">
        <w:t xml:space="preserve"> in studio projects</w:t>
      </w:r>
      <w:r>
        <w:t xml:space="preserve"> is the development of m</w:t>
      </w:r>
      <w:r w:rsidR="00431AE2">
        <w:t>emoranda of understanding</w:t>
      </w:r>
      <w:r>
        <w:t xml:space="preserve"> between the project partners</w:t>
      </w:r>
      <w:r w:rsidR="009E6E94">
        <w:t>. These documents should be produced prior to the start of the project, and should be endorsed by all parties</w:t>
      </w:r>
      <w:r w:rsidR="00645F99">
        <w:t xml:space="preserve"> (for an example of such a memorandum, </w:t>
      </w:r>
      <w:r w:rsidR="00645F99" w:rsidRPr="00CF56A5">
        <w:t xml:space="preserve">please see Appendix </w:t>
      </w:r>
      <w:r w:rsidR="004B0E64">
        <w:t>3</w:t>
      </w:r>
      <w:r w:rsidR="00645F99">
        <w:t>)</w:t>
      </w:r>
      <w:r w:rsidR="009E6E94">
        <w:t>. A typical memorandum of understanding should:</w:t>
      </w:r>
    </w:p>
    <w:p w14:paraId="45ADE3A5" w14:textId="4E4A2ECB" w:rsidR="00E57F32" w:rsidRDefault="00E57F32" w:rsidP="009E6E94">
      <w:pPr>
        <w:pStyle w:val="ListParagraph"/>
        <w:numPr>
          <w:ilvl w:val="0"/>
          <w:numId w:val="2"/>
        </w:numPr>
      </w:pPr>
      <w:r>
        <w:t xml:space="preserve">Identify </w:t>
      </w:r>
      <w:r w:rsidR="009E6E94">
        <w:t xml:space="preserve">all the </w:t>
      </w:r>
      <w:r>
        <w:t>parties to the agreement</w:t>
      </w:r>
    </w:p>
    <w:p w14:paraId="0117516F" w14:textId="0EF1FF09" w:rsidR="00E57F32" w:rsidRDefault="00E57F32" w:rsidP="009E6E94">
      <w:pPr>
        <w:pStyle w:val="ListParagraph"/>
        <w:numPr>
          <w:ilvl w:val="0"/>
          <w:numId w:val="2"/>
        </w:numPr>
      </w:pPr>
      <w:r>
        <w:t>Detail the beneficiaries of the programme</w:t>
      </w:r>
    </w:p>
    <w:p w14:paraId="4E81DBAF" w14:textId="74D1B536" w:rsidR="00E57F32" w:rsidRDefault="00E57F32" w:rsidP="009E6E94">
      <w:pPr>
        <w:pStyle w:val="ListParagraph"/>
        <w:numPr>
          <w:ilvl w:val="0"/>
          <w:numId w:val="2"/>
        </w:numPr>
      </w:pPr>
      <w:r>
        <w:t>Detail the period of duration</w:t>
      </w:r>
    </w:p>
    <w:p w14:paraId="02909D36" w14:textId="2EC5A101" w:rsidR="00810870" w:rsidRDefault="00FD406D" w:rsidP="009E6E94">
      <w:pPr>
        <w:pStyle w:val="ListParagraph"/>
        <w:numPr>
          <w:ilvl w:val="0"/>
          <w:numId w:val="2"/>
        </w:numPr>
      </w:pPr>
      <w:r>
        <w:t>Detail</w:t>
      </w:r>
      <w:r w:rsidR="00E57F32">
        <w:t xml:space="preserve"> the objectives</w:t>
      </w:r>
      <w:r>
        <w:t xml:space="preserve"> of the project</w:t>
      </w:r>
      <w:r w:rsidR="00810870">
        <w:t xml:space="preserve"> (for </w:t>
      </w:r>
      <w:r w:rsidR="009E6E94">
        <w:t xml:space="preserve">all </w:t>
      </w:r>
      <w:r w:rsidR="00810870">
        <w:t>parties</w:t>
      </w:r>
      <w:r w:rsidR="009E6E94">
        <w:t xml:space="preserve"> concerned</w:t>
      </w:r>
      <w:r w:rsidR="00810870">
        <w:t>)</w:t>
      </w:r>
    </w:p>
    <w:p w14:paraId="2A36612F" w14:textId="210C8891" w:rsidR="00FD406D" w:rsidRDefault="009E6E94" w:rsidP="009E6E94">
      <w:pPr>
        <w:pStyle w:val="ListParagraph"/>
        <w:numPr>
          <w:ilvl w:val="0"/>
          <w:numId w:val="2"/>
        </w:numPr>
      </w:pPr>
      <w:r>
        <w:t>Detail the roles and functions of the various actors or institutions involved</w:t>
      </w:r>
    </w:p>
    <w:p w14:paraId="6343B99C" w14:textId="77777777" w:rsidR="009E6E94" w:rsidRDefault="009E6E94" w:rsidP="009E6E94"/>
    <w:p w14:paraId="10DCCA58" w14:textId="5DD4E67E" w:rsidR="00B6359C" w:rsidRDefault="009E6E94" w:rsidP="009E6E94">
      <w:pPr>
        <w:rPr>
          <w:lang w:val="en-US"/>
        </w:rPr>
      </w:pPr>
      <w:r>
        <w:t xml:space="preserve">It is worth noting that </w:t>
      </w:r>
      <w:r w:rsidR="00B6359C">
        <w:t>more than one</w:t>
      </w:r>
      <w:r w:rsidR="00645F99">
        <w:t xml:space="preserve"> memorandum</w:t>
      </w:r>
      <w:r>
        <w:t xml:space="preserve"> of understanding can be developed. As part of the Namibian studio,</w:t>
      </w:r>
      <w:r w:rsidR="00B6359C">
        <w:t xml:space="preserve"> two</w:t>
      </w:r>
      <w:r>
        <w:t xml:space="preserve"> memoranda were produced</w:t>
      </w:r>
      <w:r w:rsidR="00B6359C">
        <w:t>: one</w:t>
      </w:r>
      <w:r>
        <w:t xml:space="preserve"> between the local municipality, the </w:t>
      </w:r>
      <w:r w:rsidR="00B6359C" w:rsidRPr="009E6E94">
        <w:rPr>
          <w:lang w:val="en-US"/>
        </w:rPr>
        <w:t>Shack Dwellers Federation of Namibia (SDFN) and Namibia Housing Action Group (NHAG); another bet</w:t>
      </w:r>
      <w:r>
        <w:rPr>
          <w:lang w:val="en-US"/>
        </w:rPr>
        <w:t xml:space="preserve">ween the Polytechnic of Namibia, SDFN and </w:t>
      </w:r>
      <w:r w:rsidR="00B6359C" w:rsidRPr="009E6E94">
        <w:rPr>
          <w:lang w:val="en-US"/>
        </w:rPr>
        <w:t>NHAG.</w:t>
      </w:r>
    </w:p>
    <w:p w14:paraId="78D4E608" w14:textId="77777777" w:rsidR="009E6E94" w:rsidRDefault="009E6E94" w:rsidP="009E6E94"/>
    <w:p w14:paraId="172748F1" w14:textId="77777777" w:rsidR="00B54336" w:rsidRPr="004A2C3A" w:rsidRDefault="00B54336" w:rsidP="00233356">
      <w:pPr>
        <w:rPr>
          <w:i/>
        </w:rPr>
      </w:pPr>
      <w:r w:rsidRPr="004A2C3A">
        <w:rPr>
          <w:i/>
        </w:rPr>
        <w:lastRenderedPageBreak/>
        <w:t>Engaging government</w:t>
      </w:r>
    </w:p>
    <w:p w14:paraId="316CAD90" w14:textId="77777777" w:rsidR="00233356" w:rsidRDefault="00233356" w:rsidP="00233356"/>
    <w:p w14:paraId="592603D1" w14:textId="6585B3F4" w:rsidR="00B54336" w:rsidRDefault="004A2C3A" w:rsidP="004A2C3A">
      <w:r>
        <w:t xml:space="preserve">Government agencies, particularly </w:t>
      </w:r>
      <w:r w:rsidR="000603F4">
        <w:t xml:space="preserve">those </w:t>
      </w:r>
      <w:r>
        <w:t xml:space="preserve">at the local level, can be important partners in studio projects. Often </w:t>
      </w:r>
      <w:r w:rsidR="000603F4">
        <w:t>these agencies</w:t>
      </w:r>
      <w:r>
        <w:t xml:space="preserve"> may see the studio outputs as resources to inform their official planning activities for the area. This was true in the case of the </w:t>
      </w:r>
      <w:r w:rsidR="00B54336">
        <w:t>Freedom Square</w:t>
      </w:r>
      <w:r>
        <w:t xml:space="preserve"> studio in Namibia</w:t>
      </w:r>
      <w:r w:rsidR="00267F64">
        <w:t>:</w:t>
      </w:r>
      <w:r>
        <w:t xml:space="preserve"> </w:t>
      </w:r>
      <w:r w:rsidR="00B54336">
        <w:t>“</w:t>
      </w:r>
      <w:r w:rsidR="00B54336" w:rsidRPr="004A2C3A">
        <w:rPr>
          <w:lang w:val="en-US"/>
        </w:rPr>
        <w:t xml:space="preserve">Municipal officials were present during the preparation meetings and the </w:t>
      </w:r>
      <w:r>
        <w:rPr>
          <w:lang w:val="en-US"/>
        </w:rPr>
        <w:t>activities during the weekend.</w:t>
      </w:r>
      <w:r w:rsidR="00B54336" w:rsidRPr="004A2C3A">
        <w:rPr>
          <w:lang w:val="en-US"/>
        </w:rPr>
        <w:t xml:space="preserve"> Two dedicated meetings with the officials took place, one on Friday before the </w:t>
      </w:r>
      <w:r>
        <w:rPr>
          <w:lang w:val="en-US"/>
        </w:rPr>
        <w:t>s</w:t>
      </w:r>
      <w:r w:rsidR="00B54336" w:rsidRPr="004A2C3A">
        <w:rPr>
          <w:lang w:val="en-US"/>
        </w:rPr>
        <w:t>tudio started and one following th</w:t>
      </w:r>
      <w:r>
        <w:rPr>
          <w:lang w:val="en-US"/>
        </w:rPr>
        <w:t>e activities in the community. </w:t>
      </w:r>
      <w:proofErr w:type="spellStart"/>
      <w:r w:rsidR="00B54336" w:rsidRPr="004A2C3A">
        <w:rPr>
          <w:lang w:val="en-US"/>
        </w:rPr>
        <w:t>Mr</w:t>
      </w:r>
      <w:proofErr w:type="spellEnd"/>
      <w:r w:rsidR="00B54336" w:rsidRPr="004A2C3A">
        <w:rPr>
          <w:lang w:val="en-US"/>
        </w:rPr>
        <w:t xml:space="preserve"> </w:t>
      </w:r>
      <w:proofErr w:type="spellStart"/>
      <w:r w:rsidR="00B54336" w:rsidRPr="004A2C3A">
        <w:rPr>
          <w:lang w:val="en-US"/>
        </w:rPr>
        <w:t>Mbala</w:t>
      </w:r>
      <w:proofErr w:type="spellEnd"/>
      <w:r w:rsidR="00B54336" w:rsidRPr="004A2C3A">
        <w:rPr>
          <w:lang w:val="en-US"/>
        </w:rPr>
        <w:t xml:space="preserve">, the new </w:t>
      </w:r>
      <w:r w:rsidRPr="004A2C3A">
        <w:rPr>
          <w:lang w:val="en-US"/>
        </w:rPr>
        <w:t xml:space="preserve">strategic executive </w:t>
      </w:r>
      <w:r w:rsidR="00B54336" w:rsidRPr="004A2C3A">
        <w:rPr>
          <w:lang w:val="en-US"/>
        </w:rPr>
        <w:t xml:space="preserve">for </w:t>
      </w:r>
      <w:r w:rsidRPr="004A2C3A">
        <w:rPr>
          <w:lang w:val="en-US"/>
        </w:rPr>
        <w:t>local economic development, urban planning and health</w:t>
      </w:r>
      <w:r>
        <w:rPr>
          <w:lang w:val="en-US"/>
        </w:rPr>
        <w:t xml:space="preserve"> [in the Municipality of </w:t>
      </w:r>
      <w:proofErr w:type="spellStart"/>
      <w:r>
        <w:rPr>
          <w:lang w:val="en-US"/>
        </w:rPr>
        <w:t>Gobabis</w:t>
      </w:r>
      <w:proofErr w:type="spellEnd"/>
      <w:r>
        <w:rPr>
          <w:lang w:val="en-US"/>
        </w:rPr>
        <w:t>]</w:t>
      </w:r>
      <w:r w:rsidRPr="004A2C3A">
        <w:rPr>
          <w:lang w:val="en-US"/>
        </w:rPr>
        <w:t xml:space="preserve"> </w:t>
      </w:r>
      <w:r w:rsidR="00B54336" w:rsidRPr="004A2C3A">
        <w:rPr>
          <w:lang w:val="en-US"/>
        </w:rPr>
        <w:t>indicated that the Council should not continuously resettle communities from one location to the other, but should aim for proper planning which can result in secure tenure for the residents.</w:t>
      </w:r>
      <w:r w:rsidR="00B54336">
        <w:t>”</w:t>
      </w:r>
    </w:p>
    <w:p w14:paraId="3515CED9" w14:textId="77777777" w:rsidR="004A2C3A" w:rsidRDefault="004A2C3A" w:rsidP="004A2C3A"/>
    <w:p w14:paraId="17A1041B" w14:textId="3287A4FD" w:rsidR="00B54336" w:rsidRDefault="004A2C3A" w:rsidP="004A2C3A">
      <w:r>
        <w:t xml:space="preserve">However, the question of how and when to engage government partners remains. If possible, local government agencies should be </w:t>
      </w:r>
      <w:r w:rsidR="00B54336">
        <w:t xml:space="preserve">involved from the </w:t>
      </w:r>
      <w:r>
        <w:t xml:space="preserve">outset of the project, to provide input on its preparation and key focus areas. For example, in the </w:t>
      </w:r>
      <w:r w:rsidR="00B54336">
        <w:t>Uganda</w:t>
      </w:r>
      <w:r>
        <w:t>n case the</w:t>
      </w:r>
      <w:r w:rsidR="00B54336">
        <w:t xml:space="preserve"> nature of the studio evolved from municipal</w:t>
      </w:r>
      <w:r>
        <w:t>ities’</w:t>
      </w:r>
      <w:r w:rsidR="00B54336">
        <w:t xml:space="preserve"> interest in producing local strategic plans</w:t>
      </w:r>
      <w:r>
        <w:t xml:space="preserve"> for various settlements</w:t>
      </w:r>
      <w:r w:rsidR="00B54336">
        <w:t xml:space="preserve">, and </w:t>
      </w:r>
      <w:r>
        <w:t xml:space="preserve">their need for </w:t>
      </w:r>
      <w:r w:rsidR="00B54336">
        <w:t xml:space="preserve">verified data </w:t>
      </w:r>
      <w:r>
        <w:t>to do so.</w:t>
      </w:r>
    </w:p>
    <w:p w14:paraId="5DEB644C" w14:textId="77777777" w:rsidR="00C86BFE" w:rsidRDefault="00C86BFE" w:rsidP="00C86BFE"/>
    <w:p w14:paraId="2A73A17C" w14:textId="11BE7233" w:rsidR="00C86BFE" w:rsidRDefault="00C86BFE" w:rsidP="002F7182">
      <w:pPr>
        <w:pStyle w:val="Heading2"/>
        <w:numPr>
          <w:ilvl w:val="1"/>
          <w:numId w:val="11"/>
        </w:numPr>
      </w:pPr>
      <w:bookmarkStart w:id="16" w:name="_Toc271363671"/>
      <w:r>
        <w:t>Studio implementation</w:t>
      </w:r>
      <w:bookmarkEnd w:id="16"/>
    </w:p>
    <w:p w14:paraId="105638C9" w14:textId="77777777" w:rsidR="00B54336" w:rsidRDefault="00B54336" w:rsidP="00B54336"/>
    <w:p w14:paraId="2259B49A" w14:textId="27305EB0" w:rsidR="003237CE" w:rsidRPr="009B3F99" w:rsidRDefault="009B3F99" w:rsidP="003237CE">
      <w:pPr>
        <w:rPr>
          <w:i/>
        </w:rPr>
      </w:pPr>
      <w:r w:rsidRPr="009B3F99">
        <w:rPr>
          <w:i/>
        </w:rPr>
        <w:t>Choosing a s</w:t>
      </w:r>
      <w:r w:rsidR="003237CE" w:rsidRPr="009B3F99">
        <w:rPr>
          <w:i/>
        </w:rPr>
        <w:t>patial focus</w:t>
      </w:r>
    </w:p>
    <w:p w14:paraId="044824C2" w14:textId="77777777" w:rsidR="009B3F99" w:rsidRDefault="009B3F99" w:rsidP="003237CE"/>
    <w:p w14:paraId="412A1160" w14:textId="488440CD" w:rsidR="009B2577" w:rsidRDefault="009B3F99" w:rsidP="00137120">
      <w:r>
        <w:t xml:space="preserve">Considering the scale </w:t>
      </w:r>
      <w:r w:rsidR="007E7E93">
        <w:t xml:space="preserve">and complexity </w:t>
      </w:r>
      <w:r>
        <w:t xml:space="preserve">of many informal areas in African urban contexts, unless a studio project targets a relatively small settlement, it will often be unfeasible to </w:t>
      </w:r>
      <w:r w:rsidR="00137120">
        <w:t>address the development challenges facing</w:t>
      </w:r>
      <w:r>
        <w:t xml:space="preserve"> </w:t>
      </w:r>
      <w:r w:rsidR="00137120">
        <w:t>the</w:t>
      </w:r>
      <w:r>
        <w:t xml:space="preserve"> entire community or locality</w:t>
      </w:r>
      <w:r w:rsidR="00137120">
        <w:t xml:space="preserve">. For this reason, in the </w:t>
      </w:r>
      <w:proofErr w:type="spellStart"/>
      <w:r w:rsidR="00137120">
        <w:t>Ki</w:t>
      </w:r>
      <w:r w:rsidR="007E7E93">
        <w:t>andutu</w:t>
      </w:r>
      <w:proofErr w:type="spellEnd"/>
      <w:r w:rsidR="007E7E93">
        <w:t xml:space="preserve">, </w:t>
      </w:r>
      <w:proofErr w:type="spellStart"/>
      <w:r w:rsidR="003237CE">
        <w:t>Nancholi</w:t>
      </w:r>
      <w:proofErr w:type="spellEnd"/>
      <w:r w:rsidR="00137120">
        <w:t xml:space="preserve"> </w:t>
      </w:r>
      <w:r w:rsidR="007E7E93">
        <w:t xml:space="preserve">and Salisbury Lines </w:t>
      </w:r>
      <w:r w:rsidR="00137120">
        <w:t>studios a ‘cluster’ concept and approach was adopted, where the studios focused on one or more</w:t>
      </w:r>
      <w:r w:rsidR="007E7E93">
        <w:t xml:space="preserve"> ‘pilot’</w:t>
      </w:r>
      <w:r w:rsidR="00137120">
        <w:t xml:space="preserve"> sub</w:t>
      </w:r>
      <w:r w:rsidR="009B2577">
        <w:t>-clusters within the settlement</w:t>
      </w:r>
      <w:r w:rsidR="00137120">
        <w:t xml:space="preserve"> as </w:t>
      </w:r>
      <w:r w:rsidR="00054C45">
        <w:t>a whole</w:t>
      </w:r>
      <w:r w:rsidR="007E7E93">
        <w:t xml:space="preserve"> (with a view to working in the other sub-clusters in the future)</w:t>
      </w:r>
      <w:r w:rsidR="00054C45">
        <w:t xml:space="preserve">. </w:t>
      </w:r>
      <w:r w:rsidR="009B2577">
        <w:t>In the case of the latter</w:t>
      </w:r>
      <w:r w:rsidR="00EC7817">
        <w:t xml:space="preserve"> project</w:t>
      </w:r>
      <w:r w:rsidR="009B2577">
        <w:t>, each group</w:t>
      </w:r>
      <w:r w:rsidR="00555FBB">
        <w:t xml:space="preserve"> (compris</w:t>
      </w:r>
      <w:r w:rsidR="00EC7817">
        <w:t>ed of students, federation and community members)</w:t>
      </w:r>
      <w:r w:rsidR="009B2577">
        <w:t xml:space="preserve"> was assigned to analyse all the development issues affecting a particular sub-cluster</w:t>
      </w:r>
      <w:r w:rsidR="00EC7817">
        <w:t xml:space="preserve"> – </w:t>
      </w:r>
      <w:r w:rsidR="009B2577">
        <w:t>although</w:t>
      </w:r>
      <w:r w:rsidR="00EC7817">
        <w:t xml:space="preserve"> </w:t>
      </w:r>
      <w:r w:rsidR="009B2577">
        <w:t xml:space="preserve">experience reveals that this arrangement undermined the group work process, suggesting that a better approach would be for a group to focus on a single theme for the entire cluster, as was done for the Salisbury Lines studio. </w:t>
      </w:r>
    </w:p>
    <w:p w14:paraId="68C2898B" w14:textId="77777777" w:rsidR="009B2577" w:rsidRDefault="009B2577" w:rsidP="00137120"/>
    <w:p w14:paraId="5DBB204A" w14:textId="108EF6E7" w:rsidR="003237CE" w:rsidRDefault="00054C45" w:rsidP="00137120">
      <w:r>
        <w:t xml:space="preserve">In Uganda, however, a </w:t>
      </w:r>
      <w:r w:rsidR="00137120">
        <w:t>different approach was used. Here a much</w:t>
      </w:r>
      <w:r w:rsidR="003237CE">
        <w:t xml:space="preserve"> </w:t>
      </w:r>
      <w:r w:rsidR="00137120">
        <w:t>l</w:t>
      </w:r>
      <w:r w:rsidR="009B2577">
        <w:t>arger group of students worked i</w:t>
      </w:r>
      <w:r w:rsidR="00137120">
        <w:t xml:space="preserve">n </w:t>
      </w:r>
      <w:r w:rsidR="003237CE">
        <w:t xml:space="preserve">the five administrative divisions of Kampala, as well as </w:t>
      </w:r>
      <w:r w:rsidR="003237CE" w:rsidRPr="002D5C04">
        <w:t xml:space="preserve">the five secondary cities of </w:t>
      </w:r>
      <w:proofErr w:type="spellStart"/>
      <w:r w:rsidR="003237CE" w:rsidRPr="002D5C04">
        <w:t>Jinja</w:t>
      </w:r>
      <w:proofErr w:type="spellEnd"/>
      <w:r w:rsidR="003237CE" w:rsidRPr="002D5C04">
        <w:t xml:space="preserve">, </w:t>
      </w:r>
      <w:proofErr w:type="spellStart"/>
      <w:r w:rsidR="003237CE" w:rsidRPr="002D5C04">
        <w:t>Mbale</w:t>
      </w:r>
      <w:proofErr w:type="spellEnd"/>
      <w:r w:rsidR="003237CE" w:rsidRPr="002D5C04">
        <w:t xml:space="preserve">, </w:t>
      </w:r>
      <w:proofErr w:type="spellStart"/>
      <w:r w:rsidR="003237CE" w:rsidRPr="002D5C04">
        <w:t>Mbarara</w:t>
      </w:r>
      <w:proofErr w:type="spellEnd"/>
      <w:r w:rsidR="003237CE" w:rsidRPr="002D5C04">
        <w:t xml:space="preserve">, </w:t>
      </w:r>
      <w:proofErr w:type="spellStart"/>
      <w:r w:rsidR="003237CE" w:rsidRPr="002D5C04">
        <w:t>Kabale</w:t>
      </w:r>
      <w:proofErr w:type="spellEnd"/>
      <w:r w:rsidR="003237CE" w:rsidRPr="002D5C04">
        <w:t xml:space="preserve"> and </w:t>
      </w:r>
      <w:proofErr w:type="spellStart"/>
      <w:r w:rsidR="003237CE" w:rsidRPr="002D5C04">
        <w:t>Arua</w:t>
      </w:r>
      <w:proofErr w:type="spellEnd"/>
      <w:r w:rsidR="00137120">
        <w:t>. This approach was not without problems: f</w:t>
      </w:r>
      <w:r w:rsidR="003237CE">
        <w:t>inancial constraints meant that the students working in the sec</w:t>
      </w:r>
      <w:r w:rsidR="00137120">
        <w:t>ondary cities could only spend a total of three</w:t>
      </w:r>
      <w:r w:rsidR="003237CE">
        <w:t xml:space="preserve"> days in the field. They were unable </w:t>
      </w:r>
      <w:r w:rsidR="003237CE" w:rsidRPr="000C6093">
        <w:t>to travel back and verify, in person, the data they had acquired</w:t>
      </w:r>
      <w:r w:rsidR="00137120">
        <w:t xml:space="preserve"> </w:t>
      </w:r>
      <w:r w:rsidR="00137120" w:rsidRPr="000C6093">
        <w:t>with the relevant communities</w:t>
      </w:r>
      <w:r w:rsidR="003237CE" w:rsidRPr="000C6093">
        <w:t xml:space="preserve">. However, </w:t>
      </w:r>
      <w:r w:rsidR="009B2577">
        <w:t>“</w:t>
      </w:r>
      <w:r w:rsidR="003237CE" w:rsidRPr="000C6093">
        <w:t xml:space="preserve">the students were able to overcome this challenge by getting feedback from community members via mobile telephone and electronic mail especially about any gaps/uncertainties in the data. Though </w:t>
      </w:r>
      <w:r w:rsidR="003237CE" w:rsidRPr="000C6093">
        <w:lastRenderedPageBreak/>
        <w:t>not ideal, this mode of contact between the students and some community members helped in ensuring that some of the gaps that were identified are addressed</w:t>
      </w:r>
      <w:r w:rsidR="003237CE">
        <w:t>”</w:t>
      </w:r>
      <w:r w:rsidR="003237CE" w:rsidRPr="000C6093">
        <w:t>.</w:t>
      </w:r>
    </w:p>
    <w:p w14:paraId="6ED2A6E6" w14:textId="77777777" w:rsidR="003237CE" w:rsidRDefault="003237CE" w:rsidP="00B54336"/>
    <w:p w14:paraId="3106DEC6" w14:textId="2CFDA178" w:rsidR="00C86BFE" w:rsidRPr="00137120" w:rsidRDefault="00B95438" w:rsidP="00B54336">
      <w:pPr>
        <w:rPr>
          <w:i/>
        </w:rPr>
      </w:pPr>
      <w:r w:rsidRPr="00137120">
        <w:rPr>
          <w:i/>
        </w:rPr>
        <w:t>Studio phases</w:t>
      </w:r>
      <w:r w:rsidR="005754BA">
        <w:rPr>
          <w:i/>
        </w:rPr>
        <w:t xml:space="preserve"> and work plan</w:t>
      </w:r>
    </w:p>
    <w:p w14:paraId="1D3EA6FB" w14:textId="77777777" w:rsidR="00137120" w:rsidRDefault="00137120" w:rsidP="00B54336"/>
    <w:p w14:paraId="14B3CE83" w14:textId="4861E5DD" w:rsidR="0033523C" w:rsidRDefault="0033523C" w:rsidP="00B54336">
      <w:r>
        <w:t xml:space="preserve">The various AAPS-SDI studio projects typically followed a similar succession of </w:t>
      </w:r>
      <w:r w:rsidR="00CC6CDF">
        <w:t>three</w:t>
      </w:r>
      <w:r>
        <w:t xml:space="preserve"> phases</w:t>
      </w:r>
      <w:r w:rsidR="00CC6CDF">
        <w:t xml:space="preserve"> of implementation</w:t>
      </w:r>
      <w:r>
        <w:t xml:space="preserve">. These were </w:t>
      </w:r>
    </w:p>
    <w:p w14:paraId="3473EB3C" w14:textId="351F9DEA" w:rsidR="00CC6CDF" w:rsidRPr="00CC6CDF" w:rsidRDefault="00CC6CDF" w:rsidP="00CC6CDF">
      <w:pPr>
        <w:pStyle w:val="ListParagraph"/>
        <w:numPr>
          <w:ilvl w:val="0"/>
          <w:numId w:val="13"/>
        </w:numPr>
      </w:pPr>
      <w:r>
        <w:rPr>
          <w:lang w:val="en-US"/>
        </w:rPr>
        <w:t xml:space="preserve">Data collection, settlement profiling and mapping: collect </w:t>
      </w:r>
      <w:r w:rsidRPr="00CC6CDF">
        <w:rPr>
          <w:lang w:val="en-US"/>
        </w:rPr>
        <w:t>primary and secondary data</w:t>
      </w:r>
    </w:p>
    <w:p w14:paraId="48D15944" w14:textId="26EC9E59" w:rsidR="00CC6CDF" w:rsidRPr="00CC6CDF" w:rsidRDefault="00CC6CDF" w:rsidP="00CC6CDF">
      <w:pPr>
        <w:pStyle w:val="ListParagraph"/>
        <w:numPr>
          <w:ilvl w:val="0"/>
          <w:numId w:val="13"/>
        </w:numPr>
      </w:pPr>
      <w:r>
        <w:rPr>
          <w:lang w:val="en-US"/>
        </w:rPr>
        <w:t xml:space="preserve">Situational analysis: </w:t>
      </w:r>
      <w:proofErr w:type="spellStart"/>
      <w:r>
        <w:rPr>
          <w:lang w:val="en-US"/>
        </w:rPr>
        <w:t>analyse</w:t>
      </w:r>
      <w:proofErr w:type="spellEnd"/>
      <w:r>
        <w:rPr>
          <w:lang w:val="en-US"/>
        </w:rPr>
        <w:t xml:space="preserve"> collected data to see </w:t>
      </w:r>
      <w:proofErr w:type="spellStart"/>
      <w:r>
        <w:rPr>
          <w:lang w:val="en-US"/>
        </w:rPr>
        <w:t>interlinkages</w:t>
      </w:r>
      <w:proofErr w:type="spellEnd"/>
      <w:r>
        <w:rPr>
          <w:lang w:val="en-US"/>
        </w:rPr>
        <w:t xml:space="preserve"> between issues and identify key ‘leverage points’</w:t>
      </w:r>
      <w:r w:rsidR="00E80031">
        <w:rPr>
          <w:lang w:val="en-US"/>
        </w:rPr>
        <w:t xml:space="preserve"> for possible interventions</w:t>
      </w:r>
    </w:p>
    <w:p w14:paraId="7FF36A75" w14:textId="39D429B6" w:rsidR="00CC6CDF" w:rsidRPr="00CC6CDF" w:rsidRDefault="00CC6CDF" w:rsidP="00CC6CDF">
      <w:pPr>
        <w:pStyle w:val="ListParagraph"/>
        <w:numPr>
          <w:ilvl w:val="0"/>
          <w:numId w:val="13"/>
        </w:numPr>
      </w:pPr>
      <w:r>
        <w:rPr>
          <w:lang w:val="en-US"/>
        </w:rPr>
        <w:t>Proposal development: produce workable solutions to key development challenges</w:t>
      </w:r>
    </w:p>
    <w:p w14:paraId="5DBF1246" w14:textId="77777777" w:rsidR="00CC6CDF" w:rsidRDefault="00CC6CDF" w:rsidP="00CC6CDF">
      <w:pPr>
        <w:rPr>
          <w:lang w:val="en-US"/>
        </w:rPr>
      </w:pPr>
    </w:p>
    <w:p w14:paraId="77161007" w14:textId="04510E22" w:rsidR="00365B36" w:rsidRDefault="00CC6CDF" w:rsidP="00CC6CDF">
      <w:r>
        <w:t xml:space="preserve">However, not all of these phases necessarily have to be executed. In the case of the </w:t>
      </w:r>
      <w:r w:rsidR="00365B36">
        <w:t>Freedom Square</w:t>
      </w:r>
      <w:r>
        <w:t xml:space="preserve"> (Namibia) studio, only two phases were planned</w:t>
      </w:r>
      <w:r w:rsidR="00365B36">
        <w:t>: site evaluation (building on data already collected by the community</w:t>
      </w:r>
      <w:r>
        <w:t xml:space="preserve"> and SDI federation), followed by</w:t>
      </w:r>
      <w:r w:rsidR="00365B36">
        <w:t xml:space="preserve"> layout planning and re-blocking (</w:t>
      </w:r>
      <w:r>
        <w:t>to take</w:t>
      </w:r>
      <w:r w:rsidR="00365B36">
        <w:t xml:space="preserve"> place the following semester)</w:t>
      </w:r>
      <w:r>
        <w:t>.</w:t>
      </w:r>
    </w:p>
    <w:p w14:paraId="46B4C807" w14:textId="77777777" w:rsidR="00EE6742" w:rsidRDefault="00EE6742" w:rsidP="00CC6CDF"/>
    <w:p w14:paraId="206A9162" w14:textId="55558290" w:rsidR="00EE6742" w:rsidRDefault="005754BA" w:rsidP="00CC6CDF">
      <w:r>
        <w:t>In order to solidify arrangements for the studio and to assist with the management process, it is important to develop a comprehensive work plan setting out all the various project activities, their importance or objective</w:t>
      </w:r>
      <w:r w:rsidR="000603F4">
        <w:t>s</w:t>
      </w:r>
      <w:r>
        <w:t>, the dates at which they should be implemented, and their expected outputs (see Appendix 4 for an example of a studio work plan).</w:t>
      </w:r>
    </w:p>
    <w:p w14:paraId="3497DD7C" w14:textId="77777777" w:rsidR="00CC6CDF" w:rsidRDefault="00CC6CDF" w:rsidP="00CC6CDF"/>
    <w:p w14:paraId="680662AB" w14:textId="00C1BA82" w:rsidR="00CC6CDF" w:rsidRDefault="00CC6CDF" w:rsidP="00CC6CDF">
      <w:r>
        <w:t xml:space="preserve">The </w:t>
      </w:r>
      <w:r w:rsidR="005754BA">
        <w:t xml:space="preserve">work plan was </w:t>
      </w:r>
      <w:r w:rsidR="00701E64">
        <w:t>typically</w:t>
      </w:r>
      <w:r>
        <w:t xml:space="preserve"> initia</w:t>
      </w:r>
      <w:r w:rsidR="00D9696B">
        <w:t>ted by a launch</w:t>
      </w:r>
      <w:r>
        <w:t xml:space="preserve"> event drawing in all the project partners.</w:t>
      </w:r>
    </w:p>
    <w:p w14:paraId="41189B30" w14:textId="77777777" w:rsidR="00CC6CDF" w:rsidRDefault="00CC6CDF" w:rsidP="00CC6CDF"/>
    <w:p w14:paraId="3BFB4283" w14:textId="20973A3B" w:rsidR="00B54336" w:rsidRPr="00701E64" w:rsidRDefault="00701E64" w:rsidP="00701E64">
      <w:pPr>
        <w:rPr>
          <w:i/>
        </w:rPr>
      </w:pPr>
      <w:r>
        <w:rPr>
          <w:i/>
        </w:rPr>
        <w:t>Studio l</w:t>
      </w:r>
      <w:r w:rsidR="00B54336" w:rsidRPr="00701E64">
        <w:rPr>
          <w:i/>
        </w:rPr>
        <w:t>aunch event</w:t>
      </w:r>
      <w:r>
        <w:rPr>
          <w:i/>
        </w:rPr>
        <w:t>s</w:t>
      </w:r>
      <w:r w:rsidR="00B54336" w:rsidRPr="00701E64">
        <w:rPr>
          <w:i/>
        </w:rPr>
        <w:t xml:space="preserve"> </w:t>
      </w:r>
    </w:p>
    <w:p w14:paraId="72A4C894" w14:textId="77777777" w:rsidR="00701E64" w:rsidRDefault="00701E64" w:rsidP="00701E64"/>
    <w:p w14:paraId="26EB1E91" w14:textId="23C48A0A" w:rsidR="00904B1C" w:rsidRDefault="00904B1C" w:rsidP="00701E64">
      <w:r>
        <w:t xml:space="preserve">The events at which the various studios were launched turned out to be vitally important for the success of the projects as a whole. </w:t>
      </w:r>
      <w:r w:rsidR="00383141">
        <w:t>As the first occasion where the project partners (particularly the students and community members) could meet, and develop a common understanding of the studio process, these events set the tone for subsequent activities. Their purpose was generally to:</w:t>
      </w:r>
    </w:p>
    <w:p w14:paraId="6EB31F8B" w14:textId="5DA389A9" w:rsidR="00383141" w:rsidRDefault="00B54336" w:rsidP="00383141">
      <w:pPr>
        <w:pStyle w:val="ListParagraph"/>
        <w:numPr>
          <w:ilvl w:val="0"/>
          <w:numId w:val="4"/>
        </w:numPr>
      </w:pPr>
      <w:r>
        <w:t xml:space="preserve">Introduce </w:t>
      </w:r>
      <w:r w:rsidR="00383141">
        <w:t xml:space="preserve">the </w:t>
      </w:r>
      <w:r>
        <w:t xml:space="preserve">students </w:t>
      </w:r>
      <w:r w:rsidR="00383141">
        <w:t xml:space="preserve">and the studio project </w:t>
      </w:r>
      <w:r w:rsidR="00DA3FCF">
        <w:t>to the community, and the process of enumeration</w:t>
      </w:r>
    </w:p>
    <w:p w14:paraId="230F29CB" w14:textId="4066410C" w:rsidR="00B54336" w:rsidRDefault="00B54336" w:rsidP="00383141">
      <w:pPr>
        <w:pStyle w:val="ListParagraph"/>
        <w:numPr>
          <w:ilvl w:val="0"/>
          <w:numId w:val="4"/>
        </w:numPr>
      </w:pPr>
      <w:r>
        <w:t>Discuss development issues in the settlement including the aspirations of the community, previous projects and interventions</w:t>
      </w:r>
      <w:r w:rsidR="00DA3FCF">
        <w:t xml:space="preserve"> in the area</w:t>
      </w:r>
      <w:r>
        <w:t xml:space="preserve">, opportunities and challenges, as well as </w:t>
      </w:r>
      <w:r w:rsidR="00383141">
        <w:t xml:space="preserve">the </w:t>
      </w:r>
      <w:r>
        <w:t>socio-political organization of the community</w:t>
      </w:r>
    </w:p>
    <w:p w14:paraId="17C30E0A" w14:textId="35C51149" w:rsidR="00B54336" w:rsidRDefault="00B54336" w:rsidP="00383141">
      <w:pPr>
        <w:pStyle w:val="ListParagraph"/>
        <w:numPr>
          <w:ilvl w:val="0"/>
          <w:numId w:val="4"/>
        </w:numPr>
      </w:pPr>
      <w:r>
        <w:t>Select a section of the settlem</w:t>
      </w:r>
      <w:r w:rsidR="00383141">
        <w:t>ent as the focus of the studio</w:t>
      </w:r>
    </w:p>
    <w:p w14:paraId="7F50E346" w14:textId="610CCBD2" w:rsidR="00B54336" w:rsidRPr="00B00986" w:rsidRDefault="00383141" w:rsidP="00383141">
      <w:pPr>
        <w:pStyle w:val="ListParagraph"/>
        <w:numPr>
          <w:ilvl w:val="0"/>
          <w:numId w:val="4"/>
        </w:numPr>
      </w:pPr>
      <w:r>
        <w:t>Introduce the s</w:t>
      </w:r>
      <w:r w:rsidR="00B54336" w:rsidRPr="00B00986">
        <w:t xml:space="preserve">tructure </w:t>
      </w:r>
      <w:r w:rsidR="00B54336">
        <w:t>and work plan</w:t>
      </w:r>
      <w:r>
        <w:t xml:space="preserve"> of the studio</w:t>
      </w:r>
    </w:p>
    <w:p w14:paraId="5D2BE592" w14:textId="475678AA" w:rsidR="00B54336" w:rsidRPr="00B00986" w:rsidRDefault="00B54336" w:rsidP="00383141">
      <w:pPr>
        <w:pStyle w:val="ListParagraph"/>
        <w:numPr>
          <w:ilvl w:val="0"/>
          <w:numId w:val="4"/>
        </w:numPr>
      </w:pPr>
      <w:r>
        <w:t>Develop the s</w:t>
      </w:r>
      <w:r w:rsidRPr="00B00986">
        <w:t>tudio</w:t>
      </w:r>
      <w:r w:rsidR="00383141">
        <w:t xml:space="preserve"> theme(s)</w:t>
      </w:r>
    </w:p>
    <w:p w14:paraId="7812F6AA" w14:textId="77777777" w:rsidR="00B54336" w:rsidRDefault="00B54336" w:rsidP="00383141">
      <w:pPr>
        <w:pStyle w:val="ListParagraph"/>
        <w:numPr>
          <w:ilvl w:val="0"/>
          <w:numId w:val="4"/>
        </w:numPr>
      </w:pPr>
      <w:r w:rsidRPr="00B00986">
        <w:t>Develop working team</w:t>
      </w:r>
      <w:r>
        <w:t>s</w:t>
      </w:r>
    </w:p>
    <w:p w14:paraId="0A8DD5CA" w14:textId="77777777" w:rsidR="00B54336" w:rsidRDefault="00B54336" w:rsidP="00383141">
      <w:pPr>
        <w:pStyle w:val="ListParagraph"/>
        <w:numPr>
          <w:ilvl w:val="0"/>
          <w:numId w:val="4"/>
        </w:numPr>
      </w:pPr>
      <w:r>
        <w:t>Decide on and introduce tools and equipment for data collection and mapping</w:t>
      </w:r>
    </w:p>
    <w:p w14:paraId="4288DAD7" w14:textId="77777777" w:rsidR="00D9696B" w:rsidRDefault="00D9696B" w:rsidP="00383141"/>
    <w:p w14:paraId="0B50862E" w14:textId="77777777" w:rsidR="00383141" w:rsidRDefault="00383141" w:rsidP="00383141">
      <w:r>
        <w:t xml:space="preserve">The launch of the </w:t>
      </w:r>
      <w:r w:rsidR="00B54336">
        <w:t>Uganda</w:t>
      </w:r>
      <w:r>
        <w:t xml:space="preserve">n studio was </w:t>
      </w:r>
      <w:r w:rsidR="00B54336">
        <w:t>held at Makerere University</w:t>
      </w:r>
      <w:r>
        <w:t>, and h</w:t>
      </w:r>
      <w:r w:rsidR="00B54336">
        <w:t>ighlighted the importance of involving community representatives at this early stage</w:t>
      </w:r>
      <w:r>
        <w:t xml:space="preserve"> of the project:</w:t>
      </w:r>
    </w:p>
    <w:p w14:paraId="2B4515F4" w14:textId="77777777" w:rsidR="00383141" w:rsidRDefault="00383141" w:rsidP="00383141"/>
    <w:p w14:paraId="48397BEF" w14:textId="4DD83A5C" w:rsidR="00B54336" w:rsidRPr="00383141" w:rsidRDefault="00B54336" w:rsidP="00383141">
      <w:pPr>
        <w:ind w:left="720"/>
        <w:rPr>
          <w:i/>
        </w:rPr>
      </w:pPr>
      <w:r w:rsidRPr="00383141">
        <w:rPr>
          <w:i/>
        </w:rPr>
        <w:t>At this event, ‘</w:t>
      </w:r>
      <w:r w:rsidR="00383141" w:rsidRPr="00383141">
        <w:rPr>
          <w:i/>
        </w:rPr>
        <w:t xml:space="preserve">community professors’ </w:t>
      </w:r>
      <w:proofErr w:type="spellStart"/>
      <w:r w:rsidRPr="00383141">
        <w:rPr>
          <w:i/>
        </w:rPr>
        <w:t>Katan</w:t>
      </w:r>
      <w:proofErr w:type="spellEnd"/>
      <w:r w:rsidRPr="00383141">
        <w:rPr>
          <w:i/>
        </w:rPr>
        <w:t xml:space="preserve"> Gorreti, </w:t>
      </w:r>
      <w:proofErr w:type="spellStart"/>
      <w:r w:rsidRPr="00383141">
        <w:rPr>
          <w:i/>
        </w:rPr>
        <w:t>Bwanika</w:t>
      </w:r>
      <w:proofErr w:type="spellEnd"/>
      <w:r w:rsidRPr="00383141">
        <w:rPr>
          <w:i/>
        </w:rPr>
        <w:t xml:space="preserve"> </w:t>
      </w:r>
      <w:proofErr w:type="spellStart"/>
      <w:r w:rsidRPr="00383141">
        <w:rPr>
          <w:i/>
        </w:rPr>
        <w:t>Zan</w:t>
      </w:r>
      <w:proofErr w:type="spellEnd"/>
      <w:r w:rsidRPr="00383141">
        <w:rPr>
          <w:i/>
        </w:rPr>
        <w:t xml:space="preserve"> and </w:t>
      </w:r>
      <w:proofErr w:type="spellStart"/>
      <w:r w:rsidRPr="00383141">
        <w:rPr>
          <w:i/>
        </w:rPr>
        <w:t>Kasalu</w:t>
      </w:r>
      <w:proofErr w:type="spellEnd"/>
      <w:r w:rsidRPr="00383141">
        <w:rPr>
          <w:i/>
        </w:rPr>
        <w:t xml:space="preserve"> Ronald from the Uganda</w:t>
      </w:r>
      <w:r w:rsidR="00383141">
        <w:rPr>
          <w:i/>
        </w:rPr>
        <w:t>n</w:t>
      </w:r>
      <w:r w:rsidRPr="00383141">
        <w:rPr>
          <w:i/>
        </w:rPr>
        <w:t xml:space="preserve"> </w:t>
      </w:r>
      <w:r w:rsidR="00383141" w:rsidRPr="00383141">
        <w:rPr>
          <w:i/>
        </w:rPr>
        <w:t xml:space="preserve">slum federation </w:t>
      </w:r>
      <w:r w:rsidRPr="00383141">
        <w:rPr>
          <w:i/>
        </w:rPr>
        <w:t>briefed students about savings, enumerations, mapping and how these processes had created social and political as well solidarity within slum communities. The ‘community professors’ had the opportunity to make two visits to the university, to interface with the students before the exercise commenced. The reason for these visits was primarily to build and foster rapport between them as community representatives and the students. By sharing their experiences with the students in their own learning environments, it helped both sets of actors (students and community ‘professors’) to realize and actualize their value to the planning and development process.</w:t>
      </w:r>
    </w:p>
    <w:p w14:paraId="0C85FBC3" w14:textId="77777777" w:rsidR="00DA3FCF" w:rsidRDefault="00DA3FCF" w:rsidP="00DA3FCF"/>
    <w:p w14:paraId="2E8F6950" w14:textId="6A49B21F" w:rsidR="00DA3FCF" w:rsidRDefault="00DA3FCF" w:rsidP="00DA3FCF">
      <w:r>
        <w:t xml:space="preserve">The various studio reports highlighted the importance and inductive of the student briefing process. In </w:t>
      </w:r>
      <w:proofErr w:type="spellStart"/>
      <w:r>
        <w:t>Nancholi</w:t>
      </w:r>
      <w:proofErr w:type="spellEnd"/>
      <w:r>
        <w:t xml:space="preserve">: </w:t>
      </w:r>
    </w:p>
    <w:p w14:paraId="64B970E5" w14:textId="77777777" w:rsidR="00DA3FCF" w:rsidRDefault="00DA3FCF" w:rsidP="00DA3FCF"/>
    <w:p w14:paraId="484D290F" w14:textId="468155CC" w:rsidR="00DA3FCF" w:rsidRPr="00DA3FCF" w:rsidRDefault="00DA3FCF" w:rsidP="00DA3FCF">
      <w:pPr>
        <w:ind w:left="720"/>
        <w:rPr>
          <w:i/>
        </w:rPr>
      </w:pPr>
      <w:r w:rsidRPr="00DA3FCF">
        <w:rPr>
          <w:i/>
        </w:rPr>
        <w:t>Students were first briefed separately to introduce them to codes of conduct when working with communities and then a joint briefing was held with all participants to develop a strategy for data collection. Teams agreed on general approaches: sketch mapping, use of mapping sheets, photography, interviews, measurements, GPS locators and observation techniques. Each team was allowed to develop its own mapping codes and system of capturing the attribute data (e.g. checklists, casual interviews and note taking). Emphasis was placed on data capturing methods that communities could easily understand and engage with.</w:t>
      </w:r>
    </w:p>
    <w:p w14:paraId="00AE285A" w14:textId="77777777" w:rsidR="00DA3FCF" w:rsidRDefault="00DA3FCF" w:rsidP="00DA3FCF"/>
    <w:p w14:paraId="439A0B67" w14:textId="58E75A23" w:rsidR="00DA3FCF" w:rsidRDefault="00DA3FCF" w:rsidP="00B54336">
      <w:r>
        <w:t xml:space="preserve">Aside from local community and federation processes, the Ugandan studio also revealed the importance of introducing students to the wider strategic plans and objectives pertaining to the project site within the project brief: “… </w:t>
      </w:r>
      <w:r w:rsidRPr="004D4C86">
        <w:t>students met the municipal leaders and technical officials and were briefed about their i</w:t>
      </w:r>
      <w:r>
        <w:t xml:space="preserve">nteraction with </w:t>
      </w:r>
      <w:r w:rsidR="00D707DE">
        <w:t xml:space="preserve">the </w:t>
      </w:r>
      <w:r>
        <w:t>Cities Alliance-</w:t>
      </w:r>
      <w:r w:rsidRPr="004D4C86">
        <w:t xml:space="preserve">funded Land Services and Citizenship programme for Transformation of Slums in Uganda </w:t>
      </w:r>
      <w:r>
        <w:t>(TSUPU)</w:t>
      </w:r>
      <w:r w:rsidR="00D707DE">
        <w:t xml:space="preserve"> programme</w:t>
      </w:r>
      <w:r>
        <w:t>”.</w:t>
      </w:r>
    </w:p>
    <w:p w14:paraId="07B452FA" w14:textId="77777777" w:rsidR="00DA3FCF" w:rsidRDefault="00DA3FCF" w:rsidP="00B54336"/>
    <w:p w14:paraId="062F338E" w14:textId="3EFEB1AA" w:rsidR="00F15B9C" w:rsidRDefault="00F15B9C" w:rsidP="00F15B9C">
      <w:r>
        <w:t xml:space="preserve">However, it is important to emphasize that significant preparation should be conducted prior to launch events. </w:t>
      </w:r>
      <w:r w:rsidR="00DE01B0">
        <w:t>Studio partners will need to assemble various resources (such as base maps of the local area) prior to the event. Furthermore, i</w:t>
      </w:r>
      <w:r>
        <w:t>deally the students should be bri</w:t>
      </w:r>
      <w:r w:rsidR="00D707DE">
        <w:t xml:space="preserve">efed on the studio’s rationale, </w:t>
      </w:r>
      <w:r>
        <w:t xml:space="preserve">process </w:t>
      </w:r>
      <w:r w:rsidR="00D707DE">
        <w:t xml:space="preserve">and key techniques </w:t>
      </w:r>
      <w:r>
        <w:t xml:space="preserve">before </w:t>
      </w:r>
      <w:r w:rsidR="00DE01B0">
        <w:t xml:space="preserve">holding </w:t>
      </w:r>
      <w:r>
        <w:t>such an event</w:t>
      </w:r>
      <w:r w:rsidR="00D707DE">
        <w:t>,</w:t>
      </w:r>
      <w:r>
        <w:t xml:space="preserve"> to ensure a smooth start to proceedings.</w:t>
      </w:r>
      <w:r w:rsidR="00DE01B0">
        <w:t xml:space="preserve"> In the case of the Salisbury Lines studio, for example, “… students </w:t>
      </w:r>
      <w:r w:rsidR="00DE01B0" w:rsidRPr="00DE01B0">
        <w:t>underwent initial lectures on various ap</w:t>
      </w:r>
      <w:r w:rsidR="00DE01B0">
        <w:t>proaches to resolving the challenges of rapid urbaniz</w:t>
      </w:r>
      <w:r w:rsidR="00DE01B0" w:rsidRPr="00DE01B0">
        <w:t xml:space="preserve">ation and informality </w:t>
      </w:r>
      <w:r w:rsidR="00DE01B0">
        <w:t xml:space="preserve">as well as the procedures or steps of </w:t>
      </w:r>
      <w:r w:rsidR="00DE01B0" w:rsidRPr="00DE01B0">
        <w:t>upgrading processes. One federation</w:t>
      </w:r>
      <w:r w:rsidR="00DE01B0">
        <w:t xml:space="preserve"> leader was requested to make a </w:t>
      </w:r>
      <w:r w:rsidR="00DE01B0" w:rsidRPr="00DE01B0">
        <w:t>presentation on the community approach to ho</w:t>
      </w:r>
      <w:r w:rsidR="00DE01B0">
        <w:t xml:space="preserve">using, including savings schemes </w:t>
      </w:r>
      <w:r w:rsidR="00DE01B0" w:rsidRPr="00DE01B0">
        <w:t>and sustainable human waste manure utility</w:t>
      </w:r>
      <w:r w:rsidR="00DE01B0">
        <w:t>”.</w:t>
      </w:r>
    </w:p>
    <w:p w14:paraId="30569F6F" w14:textId="77777777" w:rsidR="00F15B9C" w:rsidRDefault="00F15B9C" w:rsidP="00B54336"/>
    <w:p w14:paraId="6E9E7E8A" w14:textId="531A1629" w:rsidR="0090156C" w:rsidRPr="00383141" w:rsidRDefault="0090156C" w:rsidP="00B54336">
      <w:pPr>
        <w:rPr>
          <w:i/>
        </w:rPr>
      </w:pPr>
      <w:r w:rsidRPr="00383141">
        <w:rPr>
          <w:i/>
        </w:rPr>
        <w:lastRenderedPageBreak/>
        <w:t>Data collection</w:t>
      </w:r>
    </w:p>
    <w:p w14:paraId="7B43AD51" w14:textId="77777777" w:rsidR="00383141" w:rsidRDefault="00383141" w:rsidP="00B54336"/>
    <w:p w14:paraId="0140B16A" w14:textId="2240DA0D" w:rsidR="0090156C" w:rsidRDefault="00383141" w:rsidP="00383141">
      <w:r>
        <w:t>As mentioned previously, s</w:t>
      </w:r>
      <w:r w:rsidR="0090156C">
        <w:t xml:space="preserve">ome </w:t>
      </w:r>
      <w:r>
        <w:t>of the studio projects (for example, those conducted in</w:t>
      </w:r>
      <w:r w:rsidR="0090156C">
        <w:t xml:space="preserve"> </w:t>
      </w:r>
      <w:proofErr w:type="spellStart"/>
      <w:r w:rsidR="0090156C">
        <w:t>Nancholi</w:t>
      </w:r>
      <w:proofErr w:type="spellEnd"/>
      <w:r>
        <w:t xml:space="preserve"> and</w:t>
      </w:r>
      <w:r w:rsidR="00232C30">
        <w:t xml:space="preserve"> Freedom </w:t>
      </w:r>
      <w:r w:rsidR="009A08BD">
        <w:t>Square</w:t>
      </w:r>
      <w:r w:rsidR="0090156C">
        <w:t>) built upon enumeration and mapping exercises that had already been completed by SDI affiliates</w:t>
      </w:r>
      <w:r>
        <w:t xml:space="preserve"> in the </w:t>
      </w:r>
      <w:r w:rsidR="009E76FE">
        <w:t>s</w:t>
      </w:r>
      <w:r w:rsidR="00DC01CC">
        <w:t>ettlement</w:t>
      </w:r>
      <w:r w:rsidR="0090156C">
        <w:t>.</w:t>
      </w:r>
      <w:r>
        <w:t xml:space="preserve"> In the case of </w:t>
      </w:r>
      <w:r w:rsidR="00232C30">
        <w:t xml:space="preserve">Freedom </w:t>
      </w:r>
      <w:r w:rsidR="009A08BD">
        <w:t>Square</w:t>
      </w:r>
      <w:r>
        <w:t xml:space="preserve">, the studio </w:t>
      </w:r>
      <w:r w:rsidR="00232C30" w:rsidRPr="00383141">
        <w:rPr>
          <w:lang w:val="en-US"/>
        </w:rPr>
        <w:t xml:space="preserve">exercise started off with residents </w:t>
      </w:r>
      <w:r>
        <w:rPr>
          <w:lang w:val="en-US"/>
        </w:rPr>
        <w:t xml:space="preserve">giving feedback </w:t>
      </w:r>
      <w:r w:rsidR="00232C30" w:rsidRPr="00383141">
        <w:rPr>
          <w:lang w:val="en-US"/>
        </w:rPr>
        <w:t xml:space="preserve">on </w:t>
      </w:r>
      <w:r>
        <w:rPr>
          <w:lang w:val="en-US"/>
        </w:rPr>
        <w:t xml:space="preserve">the </w:t>
      </w:r>
      <w:r w:rsidR="00232C30" w:rsidRPr="00383141">
        <w:rPr>
          <w:lang w:val="en-US"/>
        </w:rPr>
        <w:t xml:space="preserve">data collected and mapped through the Community Land Information Programme (CLIP) that was carried out </w:t>
      </w:r>
      <w:r w:rsidRPr="00383141">
        <w:rPr>
          <w:lang w:val="en-US"/>
        </w:rPr>
        <w:t xml:space="preserve">in the settlement </w:t>
      </w:r>
      <w:r w:rsidR="00232C30" w:rsidRPr="00383141">
        <w:rPr>
          <w:lang w:val="en-US"/>
        </w:rPr>
        <w:t>between February and June 2012</w:t>
      </w:r>
      <w:r>
        <w:rPr>
          <w:lang w:val="en-US"/>
        </w:rPr>
        <w:t>,</w:t>
      </w:r>
      <w:r w:rsidR="00232C30" w:rsidRPr="00383141">
        <w:rPr>
          <w:lang w:val="en-US"/>
        </w:rPr>
        <w:t xml:space="preserve"> with the support of NHAG and </w:t>
      </w:r>
      <w:proofErr w:type="spellStart"/>
      <w:r w:rsidR="00232C30" w:rsidRPr="00383141">
        <w:rPr>
          <w:lang w:val="en-US"/>
        </w:rPr>
        <w:t>Habitafrica</w:t>
      </w:r>
      <w:proofErr w:type="spellEnd"/>
      <w:r w:rsidR="00232C30" w:rsidRPr="00383141">
        <w:rPr>
          <w:lang w:val="en-US"/>
        </w:rPr>
        <w:t xml:space="preserve">, </w:t>
      </w:r>
      <w:r>
        <w:rPr>
          <w:lang w:val="en-US"/>
        </w:rPr>
        <w:t xml:space="preserve">and </w:t>
      </w:r>
      <w:r w:rsidR="00232C30" w:rsidRPr="00383141">
        <w:rPr>
          <w:lang w:val="en-US"/>
        </w:rPr>
        <w:t>assisted by the Spanish Cooperation.</w:t>
      </w:r>
      <w:r>
        <w:t xml:space="preserve"> In </w:t>
      </w:r>
      <w:proofErr w:type="spellStart"/>
      <w:r>
        <w:t>Nancholi</w:t>
      </w:r>
      <w:proofErr w:type="spellEnd"/>
      <w:r>
        <w:t>,</w:t>
      </w:r>
      <w:r w:rsidR="0090156C">
        <w:t xml:space="preserve"> </w:t>
      </w:r>
      <w:r w:rsidR="00C92E87">
        <w:t xml:space="preserve">an </w:t>
      </w:r>
      <w:r>
        <w:t xml:space="preserve">initial mapping and </w:t>
      </w:r>
      <w:r w:rsidR="0090156C">
        <w:t xml:space="preserve">enumeration exercise </w:t>
      </w:r>
      <w:r w:rsidR="00C92E87">
        <w:t xml:space="preserve">had </w:t>
      </w:r>
      <w:r w:rsidR="0090156C">
        <w:t>focused on housing and water facilities</w:t>
      </w:r>
      <w:r>
        <w:t xml:space="preserve"> in the settlement, and </w:t>
      </w:r>
      <w:r w:rsidR="0090156C">
        <w:t xml:space="preserve">the community saw the </w:t>
      </w:r>
      <w:r>
        <w:t xml:space="preserve">AAPS-SDI studio </w:t>
      </w:r>
      <w:r w:rsidR="0090156C">
        <w:t>project as an opportunity to build upon the existing information</w:t>
      </w:r>
      <w:r>
        <w:t>.</w:t>
      </w:r>
    </w:p>
    <w:p w14:paraId="1E10EC51" w14:textId="77777777" w:rsidR="00383141" w:rsidRDefault="00383141" w:rsidP="00383141"/>
    <w:p w14:paraId="018FE0BA" w14:textId="4BCA7B9E" w:rsidR="003237CE" w:rsidRDefault="00383141" w:rsidP="00383141">
      <w:r>
        <w:t xml:space="preserve">In some cases it may be desirable to </w:t>
      </w:r>
      <w:r w:rsidR="003237CE">
        <w:t xml:space="preserve">undertake a </w:t>
      </w:r>
      <w:r w:rsidR="003237CE" w:rsidRPr="00322678">
        <w:rPr>
          <w:b/>
        </w:rPr>
        <w:t>community profiling</w:t>
      </w:r>
      <w:r w:rsidR="003237CE">
        <w:t xml:space="preserve"> exercise as a preliminary step</w:t>
      </w:r>
      <w:r>
        <w:t xml:space="preserve"> i</w:t>
      </w:r>
      <w:r w:rsidR="00322678">
        <w:t xml:space="preserve">n the data collection process. This was the case with the </w:t>
      </w:r>
      <w:r>
        <w:t>Uganda</w:t>
      </w:r>
      <w:r w:rsidR="00322678">
        <w:t>n studio (which focused on several different settlement sites)</w:t>
      </w:r>
      <w:r>
        <w:t>,</w:t>
      </w:r>
      <w:r w:rsidR="003237CE">
        <w:t xml:space="preserve"> </w:t>
      </w:r>
      <w:r w:rsidR="00322678">
        <w:t xml:space="preserve">where </w:t>
      </w:r>
      <w:r w:rsidR="003237CE">
        <w:t xml:space="preserve">the </w:t>
      </w:r>
      <w:r w:rsidR="003237CE" w:rsidRPr="00D56C3E">
        <w:t xml:space="preserve">National Slum Dwellers Federation of Uganda (NSDFU) conducted </w:t>
      </w:r>
      <w:r w:rsidR="00EE7653">
        <w:t xml:space="preserve">sample-based </w:t>
      </w:r>
      <w:r w:rsidR="003237CE" w:rsidRPr="00D56C3E">
        <w:t>profiling (</w:t>
      </w:r>
      <w:r w:rsidR="00322678">
        <w:t xml:space="preserve">or, the </w:t>
      </w:r>
      <w:r w:rsidR="003237CE" w:rsidRPr="00D56C3E">
        <w:t xml:space="preserve">qualitative assessment of </w:t>
      </w:r>
      <w:r w:rsidR="003237CE">
        <w:t>settlements</w:t>
      </w:r>
      <w:r w:rsidR="003237CE" w:rsidRPr="00D56C3E">
        <w:t>) through</w:t>
      </w:r>
      <w:r w:rsidR="003237CE" w:rsidRPr="00322678">
        <w:rPr>
          <w:b/>
        </w:rPr>
        <w:t xml:space="preserve"> </w:t>
      </w:r>
      <w:r w:rsidR="00322678">
        <w:t>field surveys, including interviews and focus</w:t>
      </w:r>
      <w:r w:rsidR="00322678" w:rsidRPr="00380164">
        <w:t xml:space="preserve"> group discussions</w:t>
      </w:r>
      <w:r w:rsidR="00322678" w:rsidRPr="00D56C3E">
        <w:t xml:space="preserve"> </w:t>
      </w:r>
      <w:r w:rsidR="003237CE" w:rsidRPr="00D56C3E">
        <w:t xml:space="preserve">with </w:t>
      </w:r>
      <w:r w:rsidR="00322678">
        <w:t xml:space="preserve">members of the various </w:t>
      </w:r>
      <w:r w:rsidR="003237CE" w:rsidRPr="00D56C3E">
        <w:t xml:space="preserve">communities. The profiling exercise involved active participation of community leaders, </w:t>
      </w:r>
      <w:r w:rsidR="003237CE">
        <w:t>municipal</w:t>
      </w:r>
      <w:r w:rsidR="003237CE" w:rsidRPr="00D56C3E">
        <w:t xml:space="preserve"> officials and local </w:t>
      </w:r>
      <w:r w:rsidR="003237CE">
        <w:t>residents</w:t>
      </w:r>
      <w:r w:rsidR="003237CE" w:rsidRPr="00D56C3E">
        <w:t>. A series of</w:t>
      </w:r>
      <w:r w:rsidR="003237CE">
        <w:t xml:space="preserve"> meetings with the municipal </w:t>
      </w:r>
      <w:r w:rsidR="003237CE" w:rsidRPr="00D56C3E">
        <w:t>officials and division leaders were held to obtain secondary data about the informal settlements and the entire municipality.</w:t>
      </w:r>
      <w:r w:rsidR="003237CE">
        <w:t xml:space="preserve"> </w:t>
      </w:r>
      <w:r w:rsidR="003237CE" w:rsidRPr="00D56C3E">
        <w:t>The profi</w:t>
      </w:r>
      <w:r w:rsidR="00322678">
        <w:t xml:space="preserve">ling team then met with the local communities </w:t>
      </w:r>
      <w:r w:rsidR="003237CE" w:rsidRPr="00D56C3E">
        <w:t xml:space="preserve">and councillors to identify the local teams to work with the </w:t>
      </w:r>
      <w:r w:rsidR="00322678" w:rsidRPr="00D56C3E">
        <w:t>slum dwellers</w:t>
      </w:r>
      <w:r w:rsidR="00322678">
        <w:t>’</w:t>
      </w:r>
      <w:r w:rsidR="00322678" w:rsidRPr="00D56C3E">
        <w:t xml:space="preserve"> federation </w:t>
      </w:r>
      <w:r w:rsidR="003237CE" w:rsidRPr="00D56C3E">
        <w:t xml:space="preserve">during the exercise. </w:t>
      </w:r>
      <w:r w:rsidR="00322678">
        <w:t>T</w:t>
      </w:r>
      <w:r w:rsidR="003237CE" w:rsidRPr="00D56C3E">
        <w:t>he l</w:t>
      </w:r>
      <w:r w:rsidR="00322678">
        <w:t xml:space="preserve">ocal teams were trained to ensure </w:t>
      </w:r>
      <w:r w:rsidR="003237CE" w:rsidRPr="00D56C3E">
        <w:t xml:space="preserve">that </w:t>
      </w:r>
      <w:r w:rsidR="003237CE">
        <w:t xml:space="preserve">the </w:t>
      </w:r>
      <w:r w:rsidR="003237CE" w:rsidRPr="00D56C3E">
        <w:t xml:space="preserve">information gathered during the profiling exercise </w:t>
      </w:r>
      <w:r w:rsidR="003237CE">
        <w:t>was</w:t>
      </w:r>
      <w:r w:rsidR="003237CE" w:rsidRPr="00D56C3E">
        <w:t xml:space="preserve"> accurate.</w:t>
      </w:r>
      <w:r w:rsidR="00322678" w:rsidRPr="00322678">
        <w:t xml:space="preserve"> </w:t>
      </w:r>
      <w:r w:rsidR="00322678">
        <w:t xml:space="preserve">All collected data were verified by both the communities and the municipalities: endorsed settlement profiles could then be used </w:t>
      </w:r>
      <w:r w:rsidR="00322678" w:rsidRPr="00380164">
        <w:t xml:space="preserve">as a basis for collaboration between </w:t>
      </w:r>
      <w:r w:rsidR="00322678">
        <w:t xml:space="preserve">the </w:t>
      </w:r>
      <w:r w:rsidR="00322678" w:rsidRPr="00380164">
        <w:t>organized slum dweller communities and the municipality in</w:t>
      </w:r>
      <w:r w:rsidR="00322678">
        <w:t xml:space="preserve"> subsequent</w:t>
      </w:r>
      <w:r w:rsidR="00322678" w:rsidRPr="00380164">
        <w:t xml:space="preserve"> development</w:t>
      </w:r>
      <w:r w:rsidR="00322678">
        <w:t xml:space="preserve"> processes.</w:t>
      </w:r>
    </w:p>
    <w:p w14:paraId="7800E6FE" w14:textId="77777777" w:rsidR="00322678" w:rsidRDefault="00322678" w:rsidP="00383141"/>
    <w:p w14:paraId="1A3580AC" w14:textId="0EF5B831" w:rsidR="003237CE" w:rsidRDefault="003237CE" w:rsidP="00EE7653">
      <w:r>
        <w:t xml:space="preserve">Settlement profiling is then </w:t>
      </w:r>
      <w:r w:rsidRPr="00380164">
        <w:t xml:space="preserve">followed by </w:t>
      </w:r>
      <w:r w:rsidRPr="00322678">
        <w:rPr>
          <w:b/>
        </w:rPr>
        <w:t>enumeration</w:t>
      </w:r>
      <w:r w:rsidRPr="00322678">
        <w:t>.</w:t>
      </w:r>
      <w:r w:rsidRPr="00322678">
        <w:rPr>
          <w:b/>
        </w:rPr>
        <w:t xml:space="preserve"> </w:t>
      </w:r>
      <w:r w:rsidRPr="00380164">
        <w:t xml:space="preserve">Enumeration involves the collection of qualitative data by the community on the </w:t>
      </w:r>
      <w:r>
        <w:t>settlements</w:t>
      </w:r>
      <w:r w:rsidRPr="00380164">
        <w:t xml:space="preserve"> in which they live</w:t>
      </w:r>
      <w:r>
        <w:t>,</w:t>
      </w:r>
      <w:r w:rsidRPr="00380164">
        <w:t xml:space="preserve"> through the administration of household surveys. Enumerations do not rely on samples, but survey each and every willing household in a given </w:t>
      </w:r>
      <w:r w:rsidR="00322678">
        <w:t>settlement</w:t>
      </w:r>
      <w:r w:rsidRPr="00380164">
        <w:t xml:space="preserve">. </w:t>
      </w:r>
      <w:r w:rsidR="00EE7653">
        <w:t>In the Ugandan case, t</w:t>
      </w:r>
      <w:r w:rsidRPr="00380164">
        <w:t xml:space="preserve">he enumeration team also </w:t>
      </w:r>
      <w:r w:rsidRPr="00322678">
        <w:t>mapped</w:t>
      </w:r>
      <w:r w:rsidRPr="00380164">
        <w:t xml:space="preserve"> out the area</w:t>
      </w:r>
      <w:r>
        <w:t>,</w:t>
      </w:r>
      <w:r w:rsidRPr="00380164">
        <w:t xml:space="preserve"> including counting the number of households, examining the sanitation facilities and other utilities</w:t>
      </w:r>
      <w:r>
        <w:t xml:space="preserve">. </w:t>
      </w:r>
      <w:r w:rsidR="00EE7653">
        <w:t>A d</w:t>
      </w:r>
      <w:r>
        <w:t xml:space="preserve">escription of the various stages of </w:t>
      </w:r>
      <w:r w:rsidR="00EE7653">
        <w:t xml:space="preserve">the </w:t>
      </w:r>
      <w:r w:rsidRPr="00CF56A5">
        <w:t xml:space="preserve">enumeration </w:t>
      </w:r>
      <w:r w:rsidR="00EE7653" w:rsidRPr="00CF56A5">
        <w:t xml:space="preserve">process </w:t>
      </w:r>
      <w:r w:rsidRPr="00CF56A5">
        <w:t xml:space="preserve">is provided in </w:t>
      </w:r>
      <w:r w:rsidR="00EE7653" w:rsidRPr="00CF56A5">
        <w:t>A</w:t>
      </w:r>
      <w:r w:rsidRPr="00CF56A5">
        <w:t>ppendix</w:t>
      </w:r>
      <w:r w:rsidR="00EE7653" w:rsidRPr="00CF56A5">
        <w:t xml:space="preserve"> </w:t>
      </w:r>
      <w:r w:rsidR="005754BA">
        <w:t>5</w:t>
      </w:r>
      <w:r w:rsidR="00EE7653" w:rsidRPr="00CF56A5">
        <w:t>.</w:t>
      </w:r>
    </w:p>
    <w:p w14:paraId="5FC3FD70" w14:textId="77777777" w:rsidR="003237CE" w:rsidRDefault="003237CE" w:rsidP="003237CE">
      <w:pPr>
        <w:pStyle w:val="ListParagraph"/>
        <w:ind w:left="1440"/>
      </w:pPr>
    </w:p>
    <w:p w14:paraId="1B34DE2D" w14:textId="56060BC5" w:rsidR="003F4DD8" w:rsidRDefault="00DC01CC" w:rsidP="00DC01CC">
      <w:r>
        <w:t xml:space="preserve">The </w:t>
      </w:r>
      <w:r w:rsidRPr="00CA4A9C">
        <w:rPr>
          <w:b/>
        </w:rPr>
        <w:t>t</w:t>
      </w:r>
      <w:r w:rsidR="00F96756" w:rsidRPr="00CA4A9C">
        <w:rPr>
          <w:b/>
        </w:rPr>
        <w:t>hemes of data collection</w:t>
      </w:r>
      <w:r w:rsidR="00C92E87">
        <w:t xml:space="preserve"> </w:t>
      </w:r>
      <w:r>
        <w:t>(i.e. whether the studio focuses on issues of sanitation, circulation, housing, land subdivision, and so on) will also</w:t>
      </w:r>
      <w:r w:rsidR="00C92E87">
        <w:t xml:space="preserve"> </w:t>
      </w:r>
      <w:r>
        <w:t xml:space="preserve">largely be </w:t>
      </w:r>
      <w:r w:rsidR="00C92E87">
        <w:t xml:space="preserve">informed by </w:t>
      </w:r>
      <w:r>
        <w:t xml:space="preserve">the community’s </w:t>
      </w:r>
      <w:r w:rsidR="00C92E87">
        <w:t>development p</w:t>
      </w:r>
      <w:r>
        <w:t>riorities within the settlement, as well as the nature of any</w:t>
      </w:r>
      <w:r w:rsidRPr="00DC01CC">
        <w:t xml:space="preserve"> </w:t>
      </w:r>
      <w:r>
        <w:t xml:space="preserve">previous research work done in the area. In </w:t>
      </w:r>
      <w:proofErr w:type="spellStart"/>
      <w:r>
        <w:t>Nancholi</w:t>
      </w:r>
      <w:proofErr w:type="spellEnd"/>
      <w:r>
        <w:t xml:space="preserve"> data were collected on</w:t>
      </w:r>
      <w:r w:rsidR="00F96756">
        <w:t xml:space="preserve"> plot layouts and structures, circulation networks and services, </w:t>
      </w:r>
      <w:r>
        <w:t xml:space="preserve">as well as </w:t>
      </w:r>
      <w:r w:rsidR="00F96756">
        <w:t>sanitation and environment</w:t>
      </w:r>
      <w:r>
        <w:t>al issues. For Salisbury Lines, the</w:t>
      </w:r>
      <w:r w:rsidR="002E6A95">
        <w:t xml:space="preserve"> students and community members were split into four mixed teams, ea</w:t>
      </w:r>
      <w:r>
        <w:t>ch focusing on a specific theme. These themes included</w:t>
      </w:r>
      <w:r w:rsidR="002E6A95">
        <w:t xml:space="preserve"> water and electricity, </w:t>
      </w:r>
      <w:r w:rsidR="002E6A95">
        <w:lastRenderedPageBreak/>
        <w:t>sanitation (toilets and solid waste management), drainage (storm water and grey water), as well as circulation and land use.</w:t>
      </w:r>
      <w:r>
        <w:t xml:space="preserve"> Alternatively, in Uganda</w:t>
      </w:r>
      <w:r w:rsidR="000C6093">
        <w:t xml:space="preserve"> </w:t>
      </w:r>
      <w:r w:rsidR="000C6093" w:rsidRPr="000C6093">
        <w:t xml:space="preserve">students focused on </w:t>
      </w:r>
      <w:r w:rsidR="00233A72">
        <w:t xml:space="preserve">local </w:t>
      </w:r>
      <w:r w:rsidR="000C6093" w:rsidRPr="000C6093">
        <w:t>housing, sanitation and education</w:t>
      </w:r>
      <w:r w:rsidR="00233A72">
        <w:t xml:space="preserve"> issues</w:t>
      </w:r>
      <w:r w:rsidR="000C6093" w:rsidRPr="000C6093">
        <w:t>.</w:t>
      </w:r>
    </w:p>
    <w:p w14:paraId="643F6139" w14:textId="77777777" w:rsidR="00DC01CC" w:rsidRDefault="00DC01CC" w:rsidP="00DC01CC"/>
    <w:p w14:paraId="74086BC0" w14:textId="0F998CEA" w:rsidR="00CA4A9C" w:rsidRDefault="00DC01CC" w:rsidP="00DC01CC">
      <w:r>
        <w:t xml:space="preserve">Mapping is the key </w:t>
      </w:r>
      <w:r w:rsidRPr="00CA4A9C">
        <w:rPr>
          <w:b/>
        </w:rPr>
        <w:t>technique</w:t>
      </w:r>
      <w:r w:rsidR="00A9592F" w:rsidRPr="00CA4A9C">
        <w:rPr>
          <w:b/>
        </w:rPr>
        <w:t xml:space="preserve"> of data collection</w:t>
      </w:r>
      <w:r>
        <w:t xml:space="preserve"> employed in these studios. The process i</w:t>
      </w:r>
      <w:r w:rsidR="00027B7A">
        <w:t xml:space="preserve">nvolves collecting </w:t>
      </w:r>
      <w:r w:rsidR="00CA4A9C">
        <w:t>(</w:t>
      </w:r>
      <w:r w:rsidR="00027B7A">
        <w:t>object and attribute</w:t>
      </w:r>
      <w:r w:rsidR="00CA4A9C">
        <w:t>)</w:t>
      </w:r>
      <w:r w:rsidR="00027B7A">
        <w:t xml:space="preserve"> data on the settlement</w:t>
      </w:r>
      <w:r>
        <w:t xml:space="preserve">, and </w:t>
      </w:r>
      <w:r w:rsidR="00027B7A">
        <w:t>allow</w:t>
      </w:r>
      <w:r>
        <w:t>s students to interpret</w:t>
      </w:r>
      <w:r w:rsidR="00027B7A">
        <w:t xml:space="preserve"> the emerging spatial issues in relation to existing socio-economic data (secured through community-based enumerations) and the wider policy context</w:t>
      </w:r>
      <w:r>
        <w:t xml:space="preserve"> for urban planning</w:t>
      </w:r>
      <w:r w:rsidR="00027B7A">
        <w:t>.</w:t>
      </w:r>
      <w:r>
        <w:t xml:space="preserve"> The </w:t>
      </w:r>
      <w:proofErr w:type="spellStart"/>
      <w:r w:rsidR="00A9592F">
        <w:t>Nancholi</w:t>
      </w:r>
      <w:proofErr w:type="spellEnd"/>
      <w:r>
        <w:t xml:space="preserve"> studio </w:t>
      </w:r>
      <w:r w:rsidR="00CA4A9C">
        <w:t>emphasized the importance of this technique</w:t>
      </w:r>
      <w:r w:rsidR="00A9592F">
        <w:t xml:space="preserve">: </w:t>
      </w:r>
    </w:p>
    <w:p w14:paraId="5429DB6C" w14:textId="77777777" w:rsidR="00CA4A9C" w:rsidRDefault="00CA4A9C" w:rsidP="00DC01CC"/>
    <w:p w14:paraId="3AEE560D" w14:textId="1A84589C" w:rsidR="00A9592F" w:rsidRPr="00CA4A9C" w:rsidRDefault="00A9592F" w:rsidP="00CA4A9C">
      <w:pPr>
        <w:ind w:left="720"/>
        <w:rPr>
          <w:i/>
        </w:rPr>
      </w:pPr>
      <w:r w:rsidRPr="00CA4A9C">
        <w:rPr>
          <w:i/>
        </w:rPr>
        <w:t>During the studio process mapping proved to be very useful in understanding the current status of the settlement as well as projecting its future development. Never before had the community undertaken such a detailed mappin</w:t>
      </w:r>
      <w:r w:rsidR="00CA4A9C" w:rsidRPr="00CA4A9C">
        <w:rPr>
          <w:i/>
        </w:rPr>
        <w:t>g exercise in their settlement.</w:t>
      </w:r>
    </w:p>
    <w:p w14:paraId="2480D973" w14:textId="77777777" w:rsidR="00CA4A9C" w:rsidRDefault="00CA4A9C" w:rsidP="00DC01CC"/>
    <w:p w14:paraId="53D79C97" w14:textId="6B8CB73C" w:rsidR="00027B7A" w:rsidRDefault="00CA4A9C" w:rsidP="00CA4A9C">
      <w:r>
        <w:t>The process of community-based mapping can also have</w:t>
      </w:r>
      <w:r w:rsidR="00027B7A">
        <w:t xml:space="preserve"> important learning outcomes. In the Salisbury Lines studio, while all participants learnt important skills relating to ground mapping, verification and the scaling of objects, the student</w:t>
      </w:r>
      <w:r>
        <w:t>s</w:t>
      </w:r>
      <w:r w:rsidR="00027B7A">
        <w:t xml:space="preserve"> “…were able to realize their technical limitations with regards to mapping and in particular mapping complex spatial environments such as informal settlements. The teams mapped the unmapped: informal land subdivisions perceived to be contested were profiled while establishing the causal factors linked to the subdivisions”. As such, “the exercise enabled participants to appreciate the role and implications of traditional land governance to contemporary urban governance”.</w:t>
      </w:r>
      <w:r>
        <w:t xml:space="preserve"> These experiences therefore point to both the research and educational benefits of enumeration-based mapping processes</w:t>
      </w:r>
      <w:r w:rsidR="00555FBB">
        <w:t xml:space="preserve"> (see Appendix 2 for further resources to assist with community-based mapping procedures)</w:t>
      </w:r>
      <w:r>
        <w:t>.</w:t>
      </w:r>
    </w:p>
    <w:p w14:paraId="0F6BA70D" w14:textId="77777777" w:rsidR="00B54336" w:rsidRDefault="00B54336" w:rsidP="00B54336"/>
    <w:p w14:paraId="02F21251" w14:textId="4F045B95" w:rsidR="005C44F3" w:rsidRPr="00CA4A9C" w:rsidRDefault="005C44F3" w:rsidP="00B54336">
      <w:pPr>
        <w:rPr>
          <w:i/>
        </w:rPr>
      </w:pPr>
      <w:r w:rsidRPr="00CA4A9C">
        <w:rPr>
          <w:i/>
        </w:rPr>
        <w:t>Data analysis</w:t>
      </w:r>
    </w:p>
    <w:p w14:paraId="630A5464" w14:textId="77777777" w:rsidR="00CA4A9C" w:rsidRDefault="00CA4A9C" w:rsidP="00B54336"/>
    <w:p w14:paraId="5FB900CF" w14:textId="4D8CE041" w:rsidR="009832CB" w:rsidRDefault="00CA4A9C" w:rsidP="009832CB">
      <w:r>
        <w:t xml:space="preserve">The AAPS-SDI studios </w:t>
      </w:r>
      <w:r w:rsidR="009832CB">
        <w:t>revealed the i</w:t>
      </w:r>
      <w:r w:rsidR="000349B6">
        <w:t xml:space="preserve">mportant role of community members in aiding the </w:t>
      </w:r>
      <w:r w:rsidR="009832CB">
        <w:t xml:space="preserve">processes of data collection and </w:t>
      </w:r>
      <w:r w:rsidR="000349B6">
        <w:t>analysis</w:t>
      </w:r>
      <w:r w:rsidR="009832CB">
        <w:t xml:space="preserve">. Community involvement not only serves to verify the collected data, but also aids the learning process by providing qualitative insights into informal urban contexts. This was clearly demonstrated in the case of the </w:t>
      </w:r>
      <w:r w:rsidR="00922D7D">
        <w:t>Freedom Square</w:t>
      </w:r>
      <w:r w:rsidR="009832CB">
        <w:t xml:space="preserve"> studio in Namibia</w:t>
      </w:r>
      <w:r w:rsidR="00922D7D">
        <w:t xml:space="preserve">: </w:t>
      </w:r>
    </w:p>
    <w:p w14:paraId="3E4A46E9" w14:textId="77777777" w:rsidR="009832CB" w:rsidRDefault="009832CB" w:rsidP="009832CB"/>
    <w:p w14:paraId="0844C0B8" w14:textId="7DE1A542" w:rsidR="00922D7D" w:rsidRPr="009832CB" w:rsidRDefault="00922D7D" w:rsidP="009832CB">
      <w:pPr>
        <w:ind w:left="720"/>
        <w:rPr>
          <w:i/>
        </w:rPr>
      </w:pPr>
      <w:r w:rsidRPr="009832CB">
        <w:rPr>
          <w:i/>
          <w:lang w:val="en-US"/>
        </w:rPr>
        <w:t xml:space="preserve">With assistance from the community and guidance from the lecturers and NHAG staff, the students carried out the site evaluation – community members teamed up with the students visiting each structure in the nine blocks, employing local knowledge to clarify the use of structures, accessing of services in and outside the settlement and </w:t>
      </w:r>
      <w:r w:rsidR="009832CB">
        <w:rPr>
          <w:i/>
          <w:lang w:val="en-US"/>
        </w:rPr>
        <w:t xml:space="preserve">to </w:t>
      </w:r>
      <w:r w:rsidRPr="009832CB">
        <w:rPr>
          <w:i/>
          <w:lang w:val="en-US"/>
        </w:rPr>
        <w:t>explain the way of life of residents in the blocks… The importance of community participation in the whole exercise was echoed and appreciated by many of the students to get a better understanding of the cultural dimension of a site for planning a settlement layout through an insider’s perception.</w:t>
      </w:r>
    </w:p>
    <w:p w14:paraId="5CEEB661" w14:textId="77777777" w:rsidR="009832CB" w:rsidRDefault="009832CB" w:rsidP="009832CB"/>
    <w:p w14:paraId="4CD0892B" w14:textId="6C41E640" w:rsidR="00A9592F" w:rsidRDefault="009832CB" w:rsidP="009832CB">
      <w:r>
        <w:lastRenderedPageBreak/>
        <w:t xml:space="preserve">Community participation also helps to secure access to data, as was found in </w:t>
      </w:r>
      <w:proofErr w:type="spellStart"/>
      <w:r>
        <w:t>Nancholi</w:t>
      </w:r>
      <w:proofErr w:type="spellEnd"/>
      <w:r>
        <w:t>: “t</w:t>
      </w:r>
      <w:r w:rsidR="00A9592F">
        <w:t>he community team led the students in engaging residents to identify boundaries of their plots. Without the community leading this process the sensitive data on plot boundarie</w:t>
      </w:r>
      <w:r>
        <w:t>s would not have been collected,</w:t>
      </w:r>
      <w:r w:rsidR="00A9592F">
        <w:t xml:space="preserve"> at least not without resistance from plot owners”</w:t>
      </w:r>
      <w:r>
        <w:t xml:space="preserve">. </w:t>
      </w:r>
    </w:p>
    <w:p w14:paraId="6372A3C4" w14:textId="77777777" w:rsidR="009832CB" w:rsidRDefault="009832CB" w:rsidP="009832CB"/>
    <w:p w14:paraId="5828994E" w14:textId="1546AA82" w:rsidR="000349B6" w:rsidRDefault="009832CB" w:rsidP="009832CB">
      <w:r>
        <w:t>A key challenge facing such studios is enabling students to work</w:t>
      </w:r>
      <w:r w:rsidR="000349B6">
        <w:t xml:space="preserve"> with </w:t>
      </w:r>
      <w:r>
        <w:t xml:space="preserve">data collected by </w:t>
      </w:r>
      <w:r w:rsidR="000349B6">
        <w:t xml:space="preserve">enumeration </w:t>
      </w:r>
      <w:r>
        <w:t>processes. Other challenges were identified based on the experiences of the Ugandan studio:</w:t>
      </w:r>
    </w:p>
    <w:p w14:paraId="262F2525" w14:textId="7E215125" w:rsidR="00526F8D" w:rsidRDefault="00D11F00" w:rsidP="009832CB">
      <w:pPr>
        <w:pStyle w:val="ListParagraph"/>
        <w:numPr>
          <w:ilvl w:val="0"/>
          <w:numId w:val="4"/>
        </w:numPr>
      </w:pPr>
      <w:r w:rsidRPr="002F69F3">
        <w:rPr>
          <w:i/>
        </w:rPr>
        <w:t>Student numbers, capacity and staff workload</w:t>
      </w:r>
      <w:r>
        <w:t xml:space="preserve">: </w:t>
      </w:r>
      <w:r w:rsidR="00526F8D" w:rsidRPr="00526F8D">
        <w:t xml:space="preserve">In handling the assignment students demonstrated greater motivation in the first part of the semester, which involved the fieldwork, but data analysis and report writing proved more challenging. </w:t>
      </w:r>
      <w:r w:rsidR="002F69F3">
        <w:t>The slum dwellers’ federation</w:t>
      </w:r>
      <w:r w:rsidR="00526F8D" w:rsidRPr="00526F8D">
        <w:t xml:space="preserve"> expected students to work independently so as to lighten the workload of its staff. However, this did not happen and instead a lot of time and human resources were needed to support the students’ work, thereby increasing the workload </w:t>
      </w:r>
      <w:r w:rsidR="002F69F3">
        <w:t xml:space="preserve">on federation and university staff </w:t>
      </w:r>
      <w:r w:rsidR="00526F8D" w:rsidRPr="00526F8D">
        <w:t xml:space="preserve">tremendously. This showed that in future the number of students to be engaged in such an exercise would have to be reduced and greater involvement of </w:t>
      </w:r>
      <w:r w:rsidR="002F69F3">
        <w:t xml:space="preserve">university </w:t>
      </w:r>
      <w:r w:rsidR="00526F8D" w:rsidRPr="00526F8D">
        <w:t>staff would have to be organi</w:t>
      </w:r>
      <w:r w:rsidR="002F69F3">
        <w:t>z</w:t>
      </w:r>
      <w:r w:rsidR="00526F8D" w:rsidRPr="00526F8D">
        <w:t>ed.</w:t>
      </w:r>
    </w:p>
    <w:p w14:paraId="1023A0A1" w14:textId="682FA057" w:rsidR="00D11F00" w:rsidRDefault="002F69F3" w:rsidP="002F69F3">
      <w:pPr>
        <w:pStyle w:val="ListParagraph"/>
        <w:numPr>
          <w:ilvl w:val="0"/>
          <w:numId w:val="4"/>
        </w:numPr>
      </w:pPr>
      <w:r w:rsidRPr="002F69F3">
        <w:rPr>
          <w:i/>
        </w:rPr>
        <w:t>Student skills</w:t>
      </w:r>
      <w:r>
        <w:rPr>
          <w:i/>
        </w:rPr>
        <w:t>, equipment and timeframe</w:t>
      </w:r>
      <w:r>
        <w:t xml:space="preserve">: </w:t>
      </w:r>
      <w:r w:rsidR="00D11F00" w:rsidRPr="00D11F00">
        <w:t xml:space="preserve">Students lacked skills in report writing and this was further aggravated by </w:t>
      </w:r>
      <w:r>
        <w:t xml:space="preserve">their </w:t>
      </w:r>
      <w:r w:rsidR="00D11F00" w:rsidRPr="00D11F00">
        <w:t>inability to access required technology. The exercise clearly showed that access to technology was a serious concern the university needs to address.</w:t>
      </w:r>
      <w:r>
        <w:t xml:space="preserve"> </w:t>
      </w:r>
      <w:r w:rsidR="00D11F00" w:rsidRPr="00D11F00">
        <w:t xml:space="preserve">Students also felt that the time they had in the field was not </w:t>
      </w:r>
      <w:r>
        <w:t>sufficient</w:t>
      </w:r>
      <w:r w:rsidR="00D11F00" w:rsidRPr="00D11F00">
        <w:t xml:space="preserve"> to comprehensively carry out the assignment at hand. </w:t>
      </w:r>
      <w:r>
        <w:t>They</w:t>
      </w:r>
      <w:r w:rsidR="00D11F00" w:rsidRPr="00D11F00">
        <w:t xml:space="preserve"> felt that they could have done the work better if they had </w:t>
      </w:r>
      <w:r>
        <w:t xml:space="preserve">access to </w:t>
      </w:r>
      <w:r w:rsidR="00D11F00" w:rsidRPr="00D11F00">
        <w:t xml:space="preserve">GPS equipment, and </w:t>
      </w:r>
      <w:r>
        <w:t xml:space="preserve">had </w:t>
      </w:r>
      <w:r w:rsidR="00D11F00" w:rsidRPr="00D11F00">
        <w:t xml:space="preserve">two to three weeks </w:t>
      </w:r>
      <w:r w:rsidR="00D11F00">
        <w:t xml:space="preserve">(rather than two days) </w:t>
      </w:r>
      <w:r w:rsidR="00D11F00" w:rsidRPr="00D11F00">
        <w:t xml:space="preserve">for </w:t>
      </w:r>
      <w:r w:rsidRPr="00D11F00">
        <w:t>fieldwork</w:t>
      </w:r>
      <w:r w:rsidR="00D11F00" w:rsidRPr="00D11F00">
        <w:t>.</w:t>
      </w:r>
    </w:p>
    <w:p w14:paraId="424B81AB" w14:textId="0F156A40" w:rsidR="00D11F00" w:rsidRDefault="002F69F3" w:rsidP="009832CB">
      <w:pPr>
        <w:pStyle w:val="ListParagraph"/>
        <w:numPr>
          <w:ilvl w:val="0"/>
          <w:numId w:val="4"/>
        </w:numPr>
      </w:pPr>
      <w:r w:rsidRPr="002F69F3">
        <w:rPr>
          <w:i/>
        </w:rPr>
        <w:t>Collective learning</w:t>
      </w:r>
      <w:r>
        <w:t xml:space="preserve">: </w:t>
      </w:r>
      <w:r w:rsidR="00D11F00" w:rsidRPr="00D11F00">
        <w:t xml:space="preserve">Although </w:t>
      </w:r>
      <w:r>
        <w:t>group</w:t>
      </w:r>
      <w:r w:rsidRPr="00D11F00">
        <w:t xml:space="preserve"> work </w:t>
      </w:r>
      <w:r>
        <w:t>was an intended aspect of the assignment</w:t>
      </w:r>
      <w:r w:rsidR="00D11F00" w:rsidRPr="00D11F00">
        <w:t xml:space="preserve">, </w:t>
      </w:r>
      <w:r>
        <w:t xml:space="preserve">some </w:t>
      </w:r>
      <w:r w:rsidR="00D11F00" w:rsidRPr="00D11F00">
        <w:t xml:space="preserve">students </w:t>
      </w:r>
      <w:r>
        <w:t xml:space="preserve">found it challenging. </w:t>
      </w:r>
      <w:r w:rsidR="00D11F00" w:rsidRPr="00D11F00">
        <w:t xml:space="preserve">At times it was not easy to make students follow </w:t>
      </w:r>
      <w:r>
        <w:t xml:space="preserve">their </w:t>
      </w:r>
      <w:r w:rsidR="00D11F00" w:rsidRPr="00D11F00">
        <w:t xml:space="preserve">instructions. For example, </w:t>
      </w:r>
      <w:r>
        <w:t xml:space="preserve">data collection </w:t>
      </w:r>
      <w:r w:rsidR="00D11F00" w:rsidRPr="00D11F00">
        <w:t xml:space="preserve">templates </w:t>
      </w:r>
      <w:r>
        <w:t xml:space="preserve">that were </w:t>
      </w:r>
      <w:r w:rsidR="00D11F00" w:rsidRPr="00D11F00">
        <w:t xml:space="preserve">given </w:t>
      </w:r>
      <w:r>
        <w:t xml:space="preserve">to students </w:t>
      </w:r>
      <w:r w:rsidR="00D11F00" w:rsidRPr="00D11F00">
        <w:t>were not followed</w:t>
      </w:r>
      <w:r>
        <w:t xml:space="preserve"> in the field</w:t>
      </w:r>
      <w:r w:rsidR="00D11F00" w:rsidRPr="00D11F00">
        <w:t>. Therefore, students had to repeat the analysis</w:t>
      </w:r>
      <w:r>
        <w:t xml:space="preserve"> process,</w:t>
      </w:r>
      <w:r w:rsidR="00D11F00" w:rsidRPr="00D11F00">
        <w:t xml:space="preserve"> which ended up taking two months. In addition, group work was weak. However, this was understandable in some instances due to challenges posed by transport costs and </w:t>
      </w:r>
      <w:r>
        <w:t xml:space="preserve">the lack of Internet and </w:t>
      </w:r>
      <w:r w:rsidR="00D11F00" w:rsidRPr="00D11F00">
        <w:t>computers at home.</w:t>
      </w:r>
    </w:p>
    <w:p w14:paraId="45CA1ACD" w14:textId="77777777" w:rsidR="00B54336" w:rsidRDefault="00B54336" w:rsidP="00B54336"/>
    <w:p w14:paraId="2D6251EC" w14:textId="77777777" w:rsidR="002F69F3" w:rsidRDefault="002F69F3" w:rsidP="002F69F3">
      <w:pPr>
        <w:rPr>
          <w:i/>
        </w:rPr>
      </w:pPr>
      <w:r w:rsidRPr="002F69F3">
        <w:rPr>
          <w:i/>
        </w:rPr>
        <w:t>Mid-studio</w:t>
      </w:r>
      <w:r w:rsidR="00E80031" w:rsidRPr="002F69F3">
        <w:rPr>
          <w:i/>
        </w:rPr>
        <w:t xml:space="preserve"> event</w:t>
      </w:r>
      <w:r w:rsidRPr="002F69F3">
        <w:rPr>
          <w:i/>
        </w:rPr>
        <w:t>s</w:t>
      </w:r>
    </w:p>
    <w:p w14:paraId="42149C34" w14:textId="2FED94CD" w:rsidR="00E80031" w:rsidRPr="002F69F3" w:rsidRDefault="00E80031" w:rsidP="002F69F3">
      <w:pPr>
        <w:rPr>
          <w:i/>
        </w:rPr>
      </w:pPr>
      <w:r w:rsidRPr="002F69F3">
        <w:rPr>
          <w:i/>
        </w:rPr>
        <w:t xml:space="preserve"> </w:t>
      </w:r>
    </w:p>
    <w:p w14:paraId="6659D15F" w14:textId="480C168F" w:rsidR="00E80031" w:rsidRDefault="007E2600" w:rsidP="007B736F">
      <w:r>
        <w:t>A number of the APS-SDI studios made use of mid-stage events to mark the completion of the situation analysis phase</w:t>
      </w:r>
      <w:r w:rsidR="007B736F">
        <w:t>, to inform the community of the results of the research process,</w:t>
      </w:r>
      <w:r>
        <w:t xml:space="preserve"> and to secure </w:t>
      </w:r>
      <w:r w:rsidR="007B736F">
        <w:t xml:space="preserve">community </w:t>
      </w:r>
      <w:r>
        <w:t xml:space="preserve">feedback. </w:t>
      </w:r>
      <w:r w:rsidR="007B736F">
        <w:t xml:space="preserve">In some cases, this event also served as a way to ensure continued engagement between the studio partners. In the case of Tanzania: </w:t>
      </w:r>
      <w:r w:rsidR="00E80031">
        <w:t>“</w:t>
      </w:r>
      <w:r w:rsidR="007B736F">
        <w:t>i</w:t>
      </w:r>
      <w:r w:rsidR="00E80031" w:rsidRPr="007C7DFC">
        <w:t xml:space="preserve">t should be noted that, after data collection, the students had been absent from the community and thus </w:t>
      </w:r>
      <w:r w:rsidR="007B736F">
        <w:t xml:space="preserve">there was a </w:t>
      </w:r>
      <w:r w:rsidR="00E80031" w:rsidRPr="007C7DFC">
        <w:t>need to bring the communit</w:t>
      </w:r>
      <w:r w:rsidR="007B736F">
        <w:t>y up-to-speed with the studio progress</w:t>
      </w:r>
      <w:r w:rsidR="00E80031">
        <w:t>”</w:t>
      </w:r>
      <w:r w:rsidR="007B736F">
        <w:t xml:space="preserve">. These events were held </w:t>
      </w:r>
      <w:r w:rsidR="00E80031" w:rsidRPr="007664E4">
        <w:t xml:space="preserve">in the respective settlements and were </w:t>
      </w:r>
      <w:r w:rsidR="007B736F">
        <w:t>seen as a success:</w:t>
      </w:r>
      <w:r w:rsidR="00E80031" w:rsidRPr="007664E4">
        <w:t xml:space="preserve"> </w:t>
      </w:r>
      <w:r w:rsidR="007B736F">
        <w:t xml:space="preserve">“… </w:t>
      </w:r>
      <w:r w:rsidR="00E80031" w:rsidRPr="007664E4">
        <w:t xml:space="preserve">with present community members actively participating by sharing their views on the emerging issues and consequently proposing what </w:t>
      </w:r>
      <w:r w:rsidR="007B736F">
        <w:t xml:space="preserve">could </w:t>
      </w:r>
      <w:r w:rsidR="00E80031" w:rsidRPr="007664E4">
        <w:t>pos</w:t>
      </w:r>
      <w:r w:rsidR="007B736F">
        <w:t xml:space="preserve">sibly </w:t>
      </w:r>
      <w:r w:rsidR="007B736F">
        <w:lastRenderedPageBreak/>
        <w:t xml:space="preserve">improve their situation. </w:t>
      </w:r>
      <w:r w:rsidR="00E80031" w:rsidRPr="007664E4">
        <w:t>Narrations were given on previous interventions, community coping mechanisms and ongoing efforts to improve the situation.</w:t>
      </w:r>
      <w:r w:rsidR="00E80031">
        <w:t>”</w:t>
      </w:r>
      <w:r w:rsidR="007B736F">
        <w:t xml:space="preserve"> </w:t>
      </w:r>
      <w:r w:rsidR="00E80031">
        <w:t xml:space="preserve">A full-day workshop was then held with the </w:t>
      </w:r>
      <w:r w:rsidR="00E80031" w:rsidRPr="008A7978">
        <w:t xml:space="preserve">student and community teams at </w:t>
      </w:r>
      <w:proofErr w:type="spellStart"/>
      <w:r w:rsidR="00E80031" w:rsidRPr="008A7978">
        <w:t>Ardhi</w:t>
      </w:r>
      <w:proofErr w:type="spellEnd"/>
      <w:r w:rsidR="00E80031" w:rsidRPr="008A7978">
        <w:t xml:space="preserve"> University</w:t>
      </w:r>
      <w:r w:rsidR="00E80031">
        <w:t xml:space="preserve">. </w:t>
      </w:r>
      <w:r w:rsidR="00E80031" w:rsidRPr="008A7978">
        <w:t xml:space="preserve">The </w:t>
      </w:r>
      <w:r w:rsidR="00E80031">
        <w:t>workshop</w:t>
      </w:r>
      <w:r w:rsidR="00E80031" w:rsidRPr="008A7978">
        <w:t xml:space="preserve"> was aimed at re</w:t>
      </w:r>
      <w:r w:rsidR="00E80031">
        <w:t>fining the situational analysis</w:t>
      </w:r>
      <w:r w:rsidR="00E80031" w:rsidRPr="008A7978">
        <w:t xml:space="preserve"> after the community feedback forums and to start developing tentative </w:t>
      </w:r>
      <w:r w:rsidR="007B736F">
        <w:t xml:space="preserve">development </w:t>
      </w:r>
      <w:r w:rsidR="00E80031" w:rsidRPr="008A7978">
        <w:t>proposals for preliminary sharing</w:t>
      </w:r>
      <w:r w:rsidR="00E80031">
        <w:t xml:space="preserve"> w</w:t>
      </w:r>
      <w:r w:rsidR="007B736F">
        <w:t>ith the community. This played an important role in promoting a healthy working relationship between the studio partners:</w:t>
      </w:r>
      <w:r w:rsidR="00E80031">
        <w:t xml:space="preserve"> “</w:t>
      </w:r>
      <w:r w:rsidR="00E80031" w:rsidRPr="008A7978">
        <w:t>It was observable that, at the end of the day, both the student and community teams had a common understanding of the issues at hand, which set an impetus for active participation in t</w:t>
      </w:r>
      <w:r w:rsidR="007B736F">
        <w:t>he proposal phase of the studio</w:t>
      </w:r>
      <w:r w:rsidR="00E80031">
        <w:t>”</w:t>
      </w:r>
      <w:r w:rsidR="007B736F">
        <w:t>.</w:t>
      </w:r>
    </w:p>
    <w:p w14:paraId="0726303F" w14:textId="77777777" w:rsidR="007B736F" w:rsidRDefault="007B736F" w:rsidP="007B736F"/>
    <w:p w14:paraId="1EC20EAB" w14:textId="3AA45562" w:rsidR="00E80031" w:rsidRDefault="007B736F" w:rsidP="007B736F">
      <w:r>
        <w:t>The v</w:t>
      </w:r>
      <w:r w:rsidR="00E80031">
        <w:t xml:space="preserve">alue of </w:t>
      </w:r>
      <w:r>
        <w:t xml:space="preserve">providing the local community </w:t>
      </w:r>
      <w:r w:rsidR="00E80031">
        <w:t xml:space="preserve">feedback </w:t>
      </w:r>
      <w:r>
        <w:t xml:space="preserve">on the research process </w:t>
      </w:r>
      <w:r w:rsidR="00E80031">
        <w:t xml:space="preserve">was </w:t>
      </w:r>
      <w:r>
        <w:t xml:space="preserve">also </w:t>
      </w:r>
      <w:r w:rsidR="00E80031">
        <w:t xml:space="preserve">highlighted in </w:t>
      </w:r>
      <w:r>
        <w:t xml:space="preserve">the case of the Ugandan studio, as </w:t>
      </w:r>
      <w:r w:rsidR="00E80031">
        <w:t>“</w:t>
      </w:r>
      <w:r>
        <w:t>m</w:t>
      </w:r>
      <w:r w:rsidR="00E80031" w:rsidRPr="00FD216C">
        <w:t>any community members had earlier complained of lack of feedback from people who come to their areas and conduct exercises or research a</w:t>
      </w:r>
      <w:r>
        <w:t>nd without giving them feedback</w:t>
      </w:r>
      <w:r w:rsidR="00E80031">
        <w:t>”</w:t>
      </w:r>
      <w:r>
        <w:t>.</w:t>
      </w:r>
    </w:p>
    <w:p w14:paraId="5BE0B898" w14:textId="77777777" w:rsidR="007B736F" w:rsidRDefault="007B736F" w:rsidP="007B736F"/>
    <w:p w14:paraId="06511608" w14:textId="76DFDAC7" w:rsidR="00E80031" w:rsidRDefault="007B736F" w:rsidP="007B736F">
      <w:r>
        <w:t>Mid-studio events c</w:t>
      </w:r>
      <w:r w:rsidR="00E80031">
        <w:t>an also be an opportunity to refresh the foc</w:t>
      </w:r>
      <w:r>
        <w:t xml:space="preserve">us and rationale of the studio, as in the case of the </w:t>
      </w:r>
      <w:proofErr w:type="spellStart"/>
      <w:r w:rsidR="00E80031">
        <w:t>Kiandutu</w:t>
      </w:r>
      <w:proofErr w:type="spellEnd"/>
      <w:r>
        <w:t xml:space="preserve"> project, where a </w:t>
      </w:r>
      <w:r w:rsidR="00E80031">
        <w:t xml:space="preserve">presentation </w:t>
      </w:r>
      <w:r>
        <w:t xml:space="preserve">by a university staff member </w:t>
      </w:r>
      <w:r w:rsidR="00E80031">
        <w:t xml:space="preserve">“highlighted the objectives </w:t>
      </w:r>
      <w:r w:rsidR="00E80031" w:rsidRPr="007B736F">
        <w:rPr>
          <w:lang w:val="en-US"/>
        </w:rPr>
        <w:t xml:space="preserve">of the studio, the methodology used in the studio, the existing conditions in </w:t>
      </w:r>
      <w:proofErr w:type="spellStart"/>
      <w:r w:rsidR="00E80031" w:rsidRPr="007B736F">
        <w:rPr>
          <w:lang w:val="en-US"/>
        </w:rPr>
        <w:t>Kiandutu</w:t>
      </w:r>
      <w:proofErr w:type="spellEnd"/>
      <w:r w:rsidR="00E80031" w:rsidRPr="007B736F">
        <w:rPr>
          <w:lang w:val="en-US"/>
        </w:rPr>
        <w:t xml:space="preserve">, emerging issues and the recommendations. This was also backed up by the community planning team validating the facts provided in the presentation as the reality of the situation in </w:t>
      </w:r>
      <w:proofErr w:type="spellStart"/>
      <w:r w:rsidR="00E80031" w:rsidRPr="007B736F">
        <w:rPr>
          <w:lang w:val="en-US"/>
        </w:rPr>
        <w:t>Kiandutu</w:t>
      </w:r>
      <w:proofErr w:type="spellEnd"/>
      <w:r w:rsidR="00E80031">
        <w:t>”.</w:t>
      </w:r>
    </w:p>
    <w:p w14:paraId="3C451A74" w14:textId="77777777" w:rsidR="00E80031" w:rsidRDefault="00E80031" w:rsidP="00B54336"/>
    <w:p w14:paraId="77C8143E" w14:textId="6DC921F5" w:rsidR="000349B6" w:rsidRPr="007B736F" w:rsidRDefault="000349B6" w:rsidP="00B54336">
      <w:pPr>
        <w:rPr>
          <w:i/>
        </w:rPr>
      </w:pPr>
      <w:r w:rsidRPr="007B736F">
        <w:rPr>
          <w:i/>
        </w:rPr>
        <w:t>Proposal development</w:t>
      </w:r>
    </w:p>
    <w:p w14:paraId="2D19A30C" w14:textId="77777777" w:rsidR="007B736F" w:rsidRDefault="007B736F" w:rsidP="00B54336"/>
    <w:p w14:paraId="2500720F" w14:textId="35B053DD" w:rsidR="004B107C" w:rsidRDefault="007B736F" w:rsidP="00C30FF8">
      <w:r>
        <w:t xml:space="preserve">The final phase of a studio project involves producing development proposals for the settlement, and presenting these to the local community and other </w:t>
      </w:r>
      <w:r w:rsidR="00C30FF8">
        <w:t xml:space="preserve">project </w:t>
      </w:r>
      <w:r>
        <w:t>partners.</w:t>
      </w:r>
      <w:r w:rsidR="00C30FF8">
        <w:t xml:space="preserve"> For the </w:t>
      </w:r>
      <w:r w:rsidR="004B107C">
        <w:t>Salisbury Lines</w:t>
      </w:r>
      <w:r w:rsidR="00C30FF8">
        <w:t xml:space="preserve"> studio, </w:t>
      </w:r>
      <w:r w:rsidR="00F5351F">
        <w:t xml:space="preserve">for example, </w:t>
      </w:r>
      <w:r w:rsidR="004B107C">
        <w:t xml:space="preserve">proposals were </w:t>
      </w:r>
      <w:r w:rsidR="00C30FF8">
        <w:t xml:space="preserve">developed </w:t>
      </w:r>
      <w:r w:rsidR="004B107C">
        <w:t>based on three main principles:</w:t>
      </w:r>
    </w:p>
    <w:p w14:paraId="1D247DBF" w14:textId="40B1C6C3" w:rsidR="004B107C" w:rsidRDefault="00C30FF8" w:rsidP="00C30FF8">
      <w:pPr>
        <w:pStyle w:val="ListParagraph"/>
        <w:numPr>
          <w:ilvl w:val="0"/>
          <w:numId w:val="4"/>
        </w:numPr>
      </w:pPr>
      <w:r>
        <w:t>The need to develop</w:t>
      </w:r>
      <w:r w:rsidR="004B107C">
        <w:t xml:space="preserve"> proposals that the community could implement with limited external funding</w:t>
      </w:r>
    </w:p>
    <w:p w14:paraId="3248A811" w14:textId="5BB28D46" w:rsidR="004B107C" w:rsidRDefault="00C30FF8" w:rsidP="00C30FF8">
      <w:pPr>
        <w:pStyle w:val="ListParagraph"/>
        <w:numPr>
          <w:ilvl w:val="0"/>
          <w:numId w:val="4"/>
        </w:numPr>
      </w:pPr>
      <w:r>
        <w:t>The need to create</w:t>
      </w:r>
      <w:r w:rsidR="004B107C">
        <w:t xml:space="preserve"> minimal disruption to the existing spatial configuration of the settlement and its social fabric</w:t>
      </w:r>
    </w:p>
    <w:p w14:paraId="10B3A992" w14:textId="42B4FF4F" w:rsidR="004B107C" w:rsidRDefault="00C30FF8" w:rsidP="00C30FF8">
      <w:pPr>
        <w:pStyle w:val="ListParagraph"/>
        <w:numPr>
          <w:ilvl w:val="0"/>
          <w:numId w:val="4"/>
        </w:numPr>
      </w:pPr>
      <w:r>
        <w:t>The need to d</w:t>
      </w:r>
      <w:r w:rsidR="004B107C">
        <w:t>evelop proposals that build upon the existing capacities and opportunities present in the settlement</w:t>
      </w:r>
    </w:p>
    <w:p w14:paraId="7EF86116" w14:textId="77777777" w:rsidR="00C30FF8" w:rsidRDefault="00C30FF8" w:rsidP="00C30FF8"/>
    <w:p w14:paraId="1D11E6BE" w14:textId="43456218" w:rsidR="00F5351F" w:rsidRDefault="00C30FF8" w:rsidP="002F7182">
      <w:r>
        <w:t>The development proposal</w:t>
      </w:r>
      <w:r w:rsidR="00935B5E">
        <w:t>s</w:t>
      </w:r>
      <w:r>
        <w:t xml:space="preserve"> are then presented at a f</w:t>
      </w:r>
      <w:r w:rsidR="00701E64">
        <w:t>inal event</w:t>
      </w:r>
      <w:r>
        <w:t xml:space="preserve"> </w:t>
      </w:r>
      <w:r w:rsidR="00935B5E">
        <w:t>that includes</w:t>
      </w:r>
      <w:r>
        <w:t xml:space="preserve"> community </w:t>
      </w:r>
      <w:r w:rsidR="00603C20">
        <w:t xml:space="preserve">members </w:t>
      </w:r>
      <w:r w:rsidR="00F5351F">
        <w:t>as well as</w:t>
      </w:r>
      <w:r>
        <w:t xml:space="preserve"> the other project partners. </w:t>
      </w:r>
      <w:r w:rsidR="00F5351F">
        <w:t>Generally this event</w:t>
      </w:r>
      <w:r w:rsidR="00935B5E">
        <w:t xml:space="preserve"> will be held within or nearby the project site, so as to allow community members to attend easily. </w:t>
      </w:r>
      <w:r w:rsidR="00701E64">
        <w:t xml:space="preserve">These </w:t>
      </w:r>
      <w:r>
        <w:t xml:space="preserve">presentations </w:t>
      </w:r>
      <w:r w:rsidR="00701E64">
        <w:t>can be made using various techniques, including PowerPoint, pin charts, maps and oral presentation.</w:t>
      </w:r>
      <w:r>
        <w:t xml:space="preserve"> </w:t>
      </w:r>
      <w:r w:rsidR="00F5351F">
        <w:t>They do not necessarily have to be made in a unidirectional manner ‘to the community’. In the case of the project conducted in</w:t>
      </w:r>
      <w:r w:rsidR="00F5351F" w:rsidRPr="00CD4E1B">
        <w:t xml:space="preserve"> </w:t>
      </w:r>
      <w:proofErr w:type="spellStart"/>
      <w:r w:rsidR="00F5351F" w:rsidRPr="00CD4E1B">
        <w:t>Maganga</w:t>
      </w:r>
      <w:proofErr w:type="spellEnd"/>
      <w:r w:rsidR="00F5351F" w:rsidRPr="00CD4E1B">
        <w:t xml:space="preserve"> </w:t>
      </w:r>
      <w:r w:rsidR="00F5351F">
        <w:t xml:space="preserve">settlement in Tanzania </w:t>
      </w:r>
      <w:r w:rsidR="00F5351F" w:rsidRPr="00CD4E1B">
        <w:t>(wh</w:t>
      </w:r>
      <w:r w:rsidR="0044382D">
        <w:t>ich had a strong community team in comparison</w:t>
      </w:r>
      <w:r w:rsidR="00F5351F" w:rsidRPr="00CD4E1B">
        <w:t xml:space="preserve"> to </w:t>
      </w:r>
      <w:r w:rsidR="00F5351F">
        <w:t xml:space="preserve">the other project </w:t>
      </w:r>
      <w:r w:rsidR="0044382D">
        <w:t>site</w:t>
      </w:r>
      <w:r w:rsidR="00F5351F">
        <w:t xml:space="preserve"> in </w:t>
      </w:r>
      <w:proofErr w:type="spellStart"/>
      <w:r w:rsidR="00F5351F" w:rsidRPr="00CD4E1B">
        <w:t>Kombo</w:t>
      </w:r>
      <w:proofErr w:type="spellEnd"/>
      <w:r w:rsidR="00F5351F" w:rsidRPr="00CD4E1B">
        <w:t xml:space="preserve">), </w:t>
      </w:r>
      <w:r w:rsidR="00F5351F">
        <w:t xml:space="preserve">presentations were held jointly made by </w:t>
      </w:r>
      <w:r w:rsidR="00F5351F" w:rsidRPr="00CD4E1B">
        <w:t>students and community members.</w:t>
      </w:r>
    </w:p>
    <w:p w14:paraId="3A4788DC" w14:textId="77777777" w:rsidR="00F5351F" w:rsidRDefault="00F5351F" w:rsidP="002F7182"/>
    <w:p w14:paraId="4E270B85" w14:textId="652959AF" w:rsidR="00F5351F" w:rsidRDefault="00C30FF8" w:rsidP="002F7182">
      <w:r>
        <w:lastRenderedPageBreak/>
        <w:t xml:space="preserve">Experiences showed that the </w:t>
      </w:r>
      <w:r w:rsidR="00A669CF">
        <w:t xml:space="preserve">final </w:t>
      </w:r>
      <w:r w:rsidR="0044382D">
        <w:t xml:space="preserve">studio event </w:t>
      </w:r>
      <w:r w:rsidR="00701E64">
        <w:t>should be</w:t>
      </w:r>
      <w:r w:rsidR="00701E64" w:rsidRPr="00CD4E1B">
        <w:t xml:space="preserve"> designed to </w:t>
      </w:r>
      <w:r w:rsidR="00701E64">
        <w:t>stimulate interest and evoke</w:t>
      </w:r>
      <w:r w:rsidR="00701E64" w:rsidRPr="00CD4E1B">
        <w:t xml:space="preserve"> reactions from the communities on the way forward </w:t>
      </w:r>
      <w:r w:rsidR="00701E64">
        <w:t>for improving the</w:t>
      </w:r>
      <w:r w:rsidR="0044382D">
        <w:t>ir settlements, and to bring in</w:t>
      </w:r>
      <w:r w:rsidR="00701E64">
        <w:t>to focus other development issues that may have been overlooked in the original</w:t>
      </w:r>
      <w:r>
        <w:t xml:space="preserve"> thematic collection and </w:t>
      </w:r>
      <w:r w:rsidR="00701E64">
        <w:t>analysis of data.</w:t>
      </w:r>
      <w:r>
        <w:t xml:space="preserve"> </w:t>
      </w:r>
      <w:r w:rsidR="0044382D">
        <w:t>During the event, p</w:t>
      </w:r>
      <w:r w:rsidR="00F5351F">
        <w:t>roposed upgrading projects can be categorized into those that should be supported externally (e.g. by government agencies) and those that could be implemented by the community or individual households.</w:t>
      </w:r>
      <w:r w:rsidR="0044382D">
        <w:t xml:space="preserve"> Finally, the outcomes of the event should be compiled into a comprehensive studio report or local plan, which can then be handed over to the community federation and relevant local government agencies as a resource for future work (this report should also be translated into the local language, if possible).</w:t>
      </w:r>
    </w:p>
    <w:p w14:paraId="3785C9F6" w14:textId="77777777" w:rsidR="002F7182" w:rsidRDefault="002F7182" w:rsidP="00935B5E"/>
    <w:p w14:paraId="17AB9661" w14:textId="2C0174F0" w:rsidR="00935B5E" w:rsidRPr="00935B5E" w:rsidRDefault="00935B5E" w:rsidP="00935B5E">
      <w:pPr>
        <w:rPr>
          <w:i/>
        </w:rPr>
      </w:pPr>
      <w:r w:rsidRPr="00935B5E">
        <w:rPr>
          <w:i/>
        </w:rPr>
        <w:t>Evaluating the studio</w:t>
      </w:r>
    </w:p>
    <w:p w14:paraId="2CB4B7F1" w14:textId="77777777" w:rsidR="00935B5E" w:rsidRDefault="00935B5E" w:rsidP="00935B5E"/>
    <w:p w14:paraId="6C399645" w14:textId="77777777" w:rsidR="00663751" w:rsidRDefault="00603C20" w:rsidP="00935B5E">
      <w:r>
        <w:t>The final step of the studio process involves evaluating the project</w:t>
      </w:r>
      <w:r w:rsidR="00201C26">
        <w:t>, and all its component events and phases,</w:t>
      </w:r>
      <w:r>
        <w:t xml:space="preserve"> in terms of </w:t>
      </w:r>
      <w:r w:rsidR="00201C26">
        <w:t xml:space="preserve">its </w:t>
      </w:r>
      <w:r>
        <w:t xml:space="preserve">perceived successes and failures. </w:t>
      </w:r>
      <w:r w:rsidR="00663751">
        <w:t>Evaluating a studio project is particularly important for pilot projects, and will set the standard and agenda for any future projects of a similar nature.</w:t>
      </w:r>
    </w:p>
    <w:p w14:paraId="4F5F7606" w14:textId="77777777" w:rsidR="00663751" w:rsidRDefault="00663751" w:rsidP="00935B5E"/>
    <w:p w14:paraId="4EEFF39A" w14:textId="2750CC1F" w:rsidR="00935B5E" w:rsidRDefault="00334AE2" w:rsidP="00935B5E">
      <w:r>
        <w:t xml:space="preserve">For the studio projects described above, AAPS commissioned a staff member from the relevant university to write an evaluation report and to prepare a presentation on the key outcomes of the project. These outputs were funded separately from the main studio budget. </w:t>
      </w:r>
      <w:r w:rsidR="00663751">
        <w:t>Organizing</w:t>
      </w:r>
      <w:r>
        <w:t xml:space="preserve"> a</w:t>
      </w:r>
      <w:r w:rsidR="00201C26">
        <w:t xml:space="preserve"> </w:t>
      </w:r>
      <w:r w:rsidR="00663751">
        <w:t xml:space="preserve">local </w:t>
      </w:r>
      <w:r w:rsidR="00201C26">
        <w:t xml:space="preserve">debriefing event </w:t>
      </w:r>
      <w:r>
        <w:t xml:space="preserve">drawing in </w:t>
      </w:r>
      <w:r w:rsidR="00201C26">
        <w:t>university, federation and NGO representatives</w:t>
      </w:r>
      <w:r w:rsidR="00663751">
        <w:t xml:space="preserve"> is another useful technique for evaluating a project. Such events can help to maintain trust between parties and to secure commitment for future work in the local area.</w:t>
      </w:r>
    </w:p>
    <w:p w14:paraId="6D098D38" w14:textId="77777777" w:rsidR="00201C26" w:rsidRDefault="00201C26" w:rsidP="00935B5E"/>
    <w:p w14:paraId="46F5BBD6" w14:textId="77777777" w:rsidR="00056015" w:rsidRPr="002F7182" w:rsidRDefault="00056015" w:rsidP="00056015">
      <w:pPr>
        <w:pStyle w:val="Heading1"/>
        <w:numPr>
          <w:ilvl w:val="0"/>
          <w:numId w:val="14"/>
        </w:numPr>
      </w:pPr>
      <w:bookmarkStart w:id="17" w:name="_Toc271363672"/>
      <w:r>
        <w:t>Synthesis</w:t>
      </w:r>
      <w:bookmarkEnd w:id="17"/>
    </w:p>
    <w:p w14:paraId="045B7F2C" w14:textId="77777777" w:rsidR="002F7182" w:rsidRPr="002F7182" w:rsidRDefault="002F7182" w:rsidP="002F7182"/>
    <w:p w14:paraId="38EB1F8B" w14:textId="6A954166" w:rsidR="00056015" w:rsidRDefault="00056015" w:rsidP="00056015">
      <w:r>
        <w:t>This section attempts to present some of the overall lessons emerging from the AAPS-SDI studio series, focusing on the challenges and potential benefits of these projects, and provides some recommendations for conducting similar projects in the future.</w:t>
      </w:r>
    </w:p>
    <w:p w14:paraId="5A8925DE" w14:textId="77777777" w:rsidR="00056015" w:rsidRDefault="00056015" w:rsidP="00056015"/>
    <w:p w14:paraId="7AFAE894" w14:textId="52BDCE08" w:rsidR="00056015" w:rsidRPr="00056015" w:rsidRDefault="00FD216C" w:rsidP="00056015">
      <w:pPr>
        <w:rPr>
          <w:i/>
        </w:rPr>
      </w:pPr>
      <w:r w:rsidRPr="00056015">
        <w:rPr>
          <w:i/>
        </w:rPr>
        <w:t>Challenges</w:t>
      </w:r>
    </w:p>
    <w:p w14:paraId="5695E36B" w14:textId="77777777" w:rsidR="00056015" w:rsidRDefault="00056015" w:rsidP="00056015"/>
    <w:p w14:paraId="4D8FBB7A" w14:textId="161C15A1" w:rsidR="00FE7D86" w:rsidRDefault="00FE7D86" w:rsidP="00FE7D86">
      <w:pPr>
        <w:pStyle w:val="ListParagraph"/>
        <w:numPr>
          <w:ilvl w:val="0"/>
          <w:numId w:val="16"/>
        </w:numPr>
      </w:pPr>
      <w:r w:rsidRPr="00FE7D86">
        <w:rPr>
          <w:b/>
        </w:rPr>
        <w:t>Staff and student capacity</w:t>
      </w:r>
      <w:r>
        <w:t xml:space="preserve">: Studio projects can place large work burdens on both university and federation staff, which highlights the importance of long-term planning and intensive preparation. </w:t>
      </w:r>
      <w:r w:rsidR="002171E7">
        <w:t xml:space="preserve">University study timetables may be constrained due to the intensity of </w:t>
      </w:r>
      <w:r w:rsidR="00FB1307">
        <w:t xml:space="preserve">the </w:t>
      </w:r>
      <w:r w:rsidR="002171E7">
        <w:t xml:space="preserve">studio work. </w:t>
      </w:r>
      <w:r w:rsidR="00CB0CCE">
        <w:t>S</w:t>
      </w:r>
      <w:r>
        <w:t>taff and students may show unequal degrees of interest in and commitment to the studio process</w:t>
      </w:r>
      <w:r w:rsidR="00C13552">
        <w:t xml:space="preserve"> (</w:t>
      </w:r>
      <w:r w:rsidR="002171E7">
        <w:t xml:space="preserve">as </w:t>
      </w:r>
      <w:r w:rsidR="00C13552">
        <w:t xml:space="preserve">in the case of the </w:t>
      </w:r>
      <w:proofErr w:type="spellStart"/>
      <w:r w:rsidR="00C13552">
        <w:t>Nancholi</w:t>
      </w:r>
      <w:proofErr w:type="spellEnd"/>
      <w:r w:rsidR="00C13552">
        <w:t xml:space="preserve"> studio, </w:t>
      </w:r>
      <w:r w:rsidR="002171E7">
        <w:t xml:space="preserve">where </w:t>
      </w:r>
      <w:r w:rsidR="00C13552">
        <w:t>the lack of provision of financial allowances for Polytechnic staff led most to abandon the project)</w:t>
      </w:r>
      <w:r>
        <w:t>.</w:t>
      </w:r>
      <w:r w:rsidR="00CB0CCE">
        <w:t xml:space="preserve"> In addition, it may not be appropriate to conduct such projects with relatively inexperienced undergraduate students, as they may lack the contextual, practical and theoretical </w:t>
      </w:r>
      <w:r w:rsidR="00CB0CCE">
        <w:lastRenderedPageBreak/>
        <w:t>knowledge necessary to produce high-quality research and design outputs.</w:t>
      </w:r>
    </w:p>
    <w:p w14:paraId="6BA882C3" w14:textId="0F2CD966" w:rsidR="00FE7D86" w:rsidRDefault="00FE7D86" w:rsidP="00056015">
      <w:pPr>
        <w:pStyle w:val="ListParagraph"/>
        <w:numPr>
          <w:ilvl w:val="0"/>
          <w:numId w:val="16"/>
        </w:numPr>
      </w:pPr>
      <w:r w:rsidRPr="00FE7D86">
        <w:rPr>
          <w:b/>
        </w:rPr>
        <w:t>Fieldwork</w:t>
      </w:r>
      <w:r>
        <w:t xml:space="preserve">: If </w:t>
      </w:r>
      <w:r w:rsidR="00FD216C">
        <w:t>timeframes for</w:t>
      </w:r>
      <w:r>
        <w:t xml:space="preserve"> collecting and analysing data are too short this can seriously compromise the value of the studio exercise both in terms of its research outputs (analytical reports and development proposals) and learning outcomes (for the students and community).</w:t>
      </w:r>
    </w:p>
    <w:p w14:paraId="7DEEA198" w14:textId="582A3A00" w:rsidR="00385BCC" w:rsidRDefault="00056015" w:rsidP="00056015">
      <w:pPr>
        <w:pStyle w:val="ListParagraph"/>
        <w:numPr>
          <w:ilvl w:val="0"/>
          <w:numId w:val="16"/>
        </w:numPr>
      </w:pPr>
      <w:r w:rsidRPr="00FE7D86">
        <w:rPr>
          <w:b/>
        </w:rPr>
        <w:t>Language</w:t>
      </w:r>
      <w:r>
        <w:t xml:space="preserve">: </w:t>
      </w:r>
      <w:r w:rsidR="00FE7D86">
        <w:t>If</w:t>
      </w:r>
      <w:r>
        <w:t xml:space="preserve"> students do not speak the local language of t</w:t>
      </w:r>
      <w:r w:rsidR="00FE7D86">
        <w:t xml:space="preserve">he community </w:t>
      </w:r>
      <w:r w:rsidR="00555FBB">
        <w:t>data collection can be compromis</w:t>
      </w:r>
      <w:r w:rsidR="00FE7D86">
        <w:t>ed and establishing trust between partners can prove more difficult. As such i</w:t>
      </w:r>
      <w:r>
        <w:t xml:space="preserve">t is important to </w:t>
      </w:r>
      <w:r w:rsidR="00FE7D86">
        <w:t>consider using</w:t>
      </w:r>
      <w:r>
        <w:t xml:space="preserve"> </w:t>
      </w:r>
      <w:r w:rsidR="00FE7D86">
        <w:t>interpreters to ensure that data is collected efficiently and rigorously.</w:t>
      </w:r>
    </w:p>
    <w:p w14:paraId="5317BA0E" w14:textId="373EDD78" w:rsidR="00EA1FEE" w:rsidRDefault="00EA1FEE" w:rsidP="00056015">
      <w:pPr>
        <w:pStyle w:val="ListParagraph"/>
        <w:numPr>
          <w:ilvl w:val="0"/>
          <w:numId w:val="16"/>
        </w:numPr>
      </w:pPr>
      <w:r w:rsidRPr="00056015">
        <w:rPr>
          <w:b/>
        </w:rPr>
        <w:t>Dealing with community fatigue</w:t>
      </w:r>
      <w:r w:rsidR="00056015">
        <w:t>: providing feedback to community members on the data collection, analysis and proposal phases is vitally important to maintain trust and an open, functional working relationship.</w:t>
      </w:r>
    </w:p>
    <w:p w14:paraId="68E23797" w14:textId="08184F85" w:rsidR="00BF6999" w:rsidRDefault="00056015" w:rsidP="00056015">
      <w:pPr>
        <w:pStyle w:val="ListParagraph"/>
        <w:numPr>
          <w:ilvl w:val="0"/>
          <w:numId w:val="16"/>
        </w:numPr>
      </w:pPr>
      <w:r w:rsidRPr="00056015">
        <w:rPr>
          <w:b/>
        </w:rPr>
        <w:t>Costs</w:t>
      </w:r>
      <w:r w:rsidR="00C13552">
        <w:rPr>
          <w:b/>
        </w:rPr>
        <w:t xml:space="preserve"> and finances</w:t>
      </w:r>
      <w:r>
        <w:t>: I</w:t>
      </w:r>
      <w:r w:rsidR="00BF6999">
        <w:t xml:space="preserve">f the studio site is located </w:t>
      </w:r>
      <w:r w:rsidR="00281B4D">
        <w:t xml:space="preserve">relatively </w:t>
      </w:r>
      <w:r w:rsidR="00BF6999">
        <w:t>far away from the university</w:t>
      </w:r>
      <w:r>
        <w:t>, transport costs may prohibit adequate fieldwork, data collection and verification.</w:t>
      </w:r>
      <w:r w:rsidR="00281B4D">
        <w:t xml:space="preserve"> A lack of projects funds may also limit the scope of the project as well as the number of students able to participate.</w:t>
      </w:r>
      <w:r w:rsidR="00C13552">
        <w:t xml:space="preserve"> </w:t>
      </w:r>
    </w:p>
    <w:p w14:paraId="0E0EC850" w14:textId="77777777" w:rsidR="00056015" w:rsidRDefault="00056015" w:rsidP="00056015"/>
    <w:p w14:paraId="34AD5605" w14:textId="468E0E0C" w:rsidR="00FD216C" w:rsidRPr="00056015" w:rsidRDefault="00FD216C" w:rsidP="00056015">
      <w:pPr>
        <w:rPr>
          <w:i/>
        </w:rPr>
      </w:pPr>
      <w:r w:rsidRPr="00056015">
        <w:rPr>
          <w:i/>
        </w:rPr>
        <w:t>Benefits</w:t>
      </w:r>
    </w:p>
    <w:p w14:paraId="3DA71E5D" w14:textId="77777777" w:rsidR="00056015" w:rsidRDefault="00056015" w:rsidP="00056015"/>
    <w:p w14:paraId="0D3569C8" w14:textId="4F44AC40" w:rsidR="00D44295" w:rsidRDefault="00D44295" w:rsidP="00056015">
      <w:r>
        <w:t>For students</w:t>
      </w:r>
      <w:r w:rsidR="00056015">
        <w:t>:</w:t>
      </w:r>
    </w:p>
    <w:p w14:paraId="72B740B8" w14:textId="5E7D0391" w:rsidR="00D44295" w:rsidRDefault="00D44295" w:rsidP="006F1022">
      <w:pPr>
        <w:pStyle w:val="ListParagraph"/>
        <w:numPr>
          <w:ilvl w:val="0"/>
          <w:numId w:val="5"/>
        </w:numPr>
      </w:pPr>
      <w:r w:rsidRPr="00056015">
        <w:rPr>
          <w:b/>
        </w:rPr>
        <w:t>Learning</w:t>
      </w:r>
      <w:r>
        <w:t xml:space="preserve">: </w:t>
      </w:r>
      <w:r w:rsidR="00B54900">
        <w:t>Through studio project s</w:t>
      </w:r>
      <w:r w:rsidR="00FD216C" w:rsidRPr="00FD216C">
        <w:t xml:space="preserve">tudents </w:t>
      </w:r>
      <w:r w:rsidR="00B54900">
        <w:t>can gain</w:t>
      </w:r>
      <w:r w:rsidR="00FD216C" w:rsidRPr="00FD216C">
        <w:t xml:space="preserve"> work exp</w:t>
      </w:r>
      <w:r>
        <w:t>erience and deve</w:t>
      </w:r>
      <w:r w:rsidR="00B54900">
        <w:t>lop their practical and analytical skills</w:t>
      </w:r>
      <w:r w:rsidR="00753423">
        <w:t xml:space="preserve"> in a way that links theory and practice</w:t>
      </w:r>
      <w:r w:rsidR="00B54900">
        <w:t xml:space="preserve">. </w:t>
      </w:r>
      <w:r w:rsidR="00A67133">
        <w:t xml:space="preserve">Students learn about the internal systems and dynamics of spatial and socio-political organization in informal settlements, which tend to be overlooked by formal planning processes (instead </w:t>
      </w:r>
      <w:r w:rsidR="006F1022">
        <w:t>tending to see</w:t>
      </w:r>
      <w:r w:rsidR="00A67133">
        <w:t xml:space="preserve"> informal communities </w:t>
      </w:r>
      <w:r w:rsidR="006F1022">
        <w:t xml:space="preserve">and spaces </w:t>
      </w:r>
      <w:r w:rsidR="00A67133">
        <w:t>as homogenous</w:t>
      </w:r>
      <w:r w:rsidR="006F1022">
        <w:t xml:space="preserve"> and pathogenic</w:t>
      </w:r>
      <w:r w:rsidR="00A67133">
        <w:t xml:space="preserve">). </w:t>
      </w:r>
      <w:r w:rsidR="006F1022">
        <w:t>S</w:t>
      </w:r>
      <w:r w:rsidR="006F1022" w:rsidRPr="00FD216C">
        <w:t xml:space="preserve">tudents </w:t>
      </w:r>
      <w:r w:rsidR="006F1022">
        <w:t xml:space="preserve">gain </w:t>
      </w:r>
      <w:r w:rsidR="006F1022" w:rsidRPr="00FD216C">
        <w:t xml:space="preserve">experience </w:t>
      </w:r>
      <w:r w:rsidR="006F1022">
        <w:t xml:space="preserve">in </w:t>
      </w:r>
      <w:r w:rsidR="006F1022" w:rsidRPr="00FD216C">
        <w:t>identify</w:t>
      </w:r>
      <w:r w:rsidR="006F1022">
        <w:t>ing</w:t>
      </w:r>
      <w:r w:rsidR="006F1022" w:rsidRPr="00FD216C">
        <w:t xml:space="preserve"> entry points </w:t>
      </w:r>
      <w:r w:rsidR="006F1022">
        <w:t>when dealing with communities</w:t>
      </w:r>
      <w:r w:rsidR="006F1022" w:rsidRPr="00FD216C">
        <w:t xml:space="preserve"> and </w:t>
      </w:r>
      <w:r w:rsidR="006F1022">
        <w:t xml:space="preserve">in </w:t>
      </w:r>
      <w:r w:rsidR="006F1022" w:rsidRPr="00FD216C">
        <w:t>develop</w:t>
      </w:r>
      <w:r w:rsidR="006F1022">
        <w:t>ing</w:t>
      </w:r>
      <w:r w:rsidR="006F1022" w:rsidRPr="00FD216C">
        <w:t xml:space="preserve"> rapp</w:t>
      </w:r>
      <w:r w:rsidR="006F1022">
        <w:t xml:space="preserve">ort with community members. In Uganda and other contexts, </w:t>
      </w:r>
      <w:r w:rsidR="006F1022" w:rsidRPr="00FD216C">
        <w:t xml:space="preserve">students felt that analysing the </w:t>
      </w:r>
      <w:r w:rsidR="006F1022">
        <w:t xml:space="preserve">enumeration </w:t>
      </w:r>
      <w:r w:rsidR="006F1022" w:rsidRPr="00FD216C">
        <w:t xml:space="preserve">data and </w:t>
      </w:r>
      <w:r w:rsidR="006F1022">
        <w:t xml:space="preserve">producing </w:t>
      </w:r>
      <w:r w:rsidR="006F1022" w:rsidRPr="00FD216C">
        <w:t>reports that the community needed and appreciated made them feel valued.</w:t>
      </w:r>
      <w:r w:rsidR="006F1022">
        <w:t xml:space="preserve"> Community-based s</w:t>
      </w:r>
      <w:r w:rsidR="00BB029E">
        <w:t>tudios also provide</w:t>
      </w:r>
      <w:r>
        <w:t xml:space="preserve"> an opportunity </w:t>
      </w:r>
      <w:r w:rsidR="00BB029E">
        <w:t xml:space="preserve">for students and staff </w:t>
      </w:r>
      <w:r>
        <w:t xml:space="preserve">to test the relevance of their training against the realities of urbanization </w:t>
      </w:r>
      <w:r w:rsidR="00BB029E">
        <w:t xml:space="preserve">unfolding </w:t>
      </w:r>
      <w:r>
        <w:t xml:space="preserve">in their respective contexts. This </w:t>
      </w:r>
      <w:r w:rsidR="00BB029E">
        <w:t>opens the way</w:t>
      </w:r>
      <w:r>
        <w:t xml:space="preserve"> for a much wider and more signif</w:t>
      </w:r>
      <w:r w:rsidR="00BB029E">
        <w:t>icant critical learning process. As concluded from the</w:t>
      </w:r>
      <w:r w:rsidR="00AA7283">
        <w:t xml:space="preserve"> experiences of the</w:t>
      </w:r>
      <w:r w:rsidR="00BB029E">
        <w:t xml:space="preserve"> Malawian studios, “t</w:t>
      </w:r>
      <w:r>
        <w:t>he spatial complexities displayed by… informal settlements compel planners to think about sustainability in new and realistic approaches”.</w:t>
      </w:r>
    </w:p>
    <w:p w14:paraId="53941868" w14:textId="514315E9" w:rsidR="00FD216C" w:rsidRDefault="00056015" w:rsidP="00056015">
      <w:pPr>
        <w:pStyle w:val="ListParagraph"/>
        <w:numPr>
          <w:ilvl w:val="0"/>
          <w:numId w:val="5"/>
        </w:numPr>
      </w:pPr>
      <w:r w:rsidRPr="00056015">
        <w:rPr>
          <w:b/>
        </w:rPr>
        <w:t>Changing attitudes</w:t>
      </w:r>
      <w:r>
        <w:t>: Studio projects c</w:t>
      </w:r>
      <w:r w:rsidR="00D44295">
        <w:t>an contribute to a shi</w:t>
      </w:r>
      <w:r w:rsidR="00A67133">
        <w:t xml:space="preserve">ft in mind-set amongst students, as they are </w:t>
      </w:r>
      <w:r w:rsidR="00FD216C" w:rsidRPr="00FD216C">
        <w:t>exposed to urban areas</w:t>
      </w:r>
      <w:r w:rsidR="00A67133">
        <w:t xml:space="preserve"> and realities they have</w:t>
      </w:r>
      <w:r w:rsidR="00FD216C" w:rsidRPr="00FD216C">
        <w:t xml:space="preserve"> </w:t>
      </w:r>
      <w:r w:rsidR="00753423">
        <w:t>not</w:t>
      </w:r>
      <w:r w:rsidR="00FD216C" w:rsidRPr="00FD216C">
        <w:t xml:space="preserve"> encountered</w:t>
      </w:r>
      <w:r w:rsidR="00A67133">
        <w:t xml:space="preserve"> previously</w:t>
      </w:r>
      <w:r w:rsidR="00FD216C" w:rsidRPr="00FD216C">
        <w:t xml:space="preserve">. Students </w:t>
      </w:r>
      <w:r w:rsidR="00A67133">
        <w:t>can co</w:t>
      </w:r>
      <w:r w:rsidR="00FD216C" w:rsidRPr="00FD216C">
        <w:t>me to appreciate the work of the community and how it can contribute to inclusive planning</w:t>
      </w:r>
      <w:r w:rsidR="00A67133">
        <w:t xml:space="preserve"> practices</w:t>
      </w:r>
      <w:r w:rsidR="00FD216C" w:rsidRPr="00FD216C">
        <w:t>.</w:t>
      </w:r>
      <w:r w:rsidR="000F4F3D">
        <w:t xml:space="preserve"> They can begin to see that poor urban communities have values and aspirations for their own development, rather than simply being passive recipients of state resources. Seeing informal community members as agents of development change lays the foundation for </w:t>
      </w:r>
      <w:r w:rsidR="000F4F3D">
        <w:lastRenderedPageBreak/>
        <w:t>developing upgrading approaches that are based on enhancing the capacities of community members</w:t>
      </w:r>
      <w:r w:rsidR="007D200E">
        <w:t xml:space="preserve"> to improve their urban environments.</w:t>
      </w:r>
    </w:p>
    <w:p w14:paraId="53B467EB" w14:textId="77777777" w:rsidR="00056015" w:rsidRDefault="00056015" w:rsidP="00056015"/>
    <w:p w14:paraId="62B7D325" w14:textId="77777777" w:rsidR="00056015" w:rsidRDefault="000F4F3D" w:rsidP="00056015">
      <w:r>
        <w:t>For informal communities</w:t>
      </w:r>
      <w:r w:rsidR="00056015">
        <w:t>:</w:t>
      </w:r>
    </w:p>
    <w:p w14:paraId="54DF0879" w14:textId="519CE25C" w:rsidR="006F1022" w:rsidRDefault="006F1022" w:rsidP="006F1022">
      <w:pPr>
        <w:pStyle w:val="ListParagraph"/>
        <w:numPr>
          <w:ilvl w:val="0"/>
          <w:numId w:val="17"/>
        </w:numPr>
      </w:pPr>
      <w:r w:rsidRPr="006F1022">
        <w:rPr>
          <w:b/>
        </w:rPr>
        <w:t>Learning</w:t>
      </w:r>
      <w:r>
        <w:t>: Educational studio projects</w:t>
      </w:r>
      <w:r w:rsidR="000F4F3D">
        <w:t xml:space="preserve"> provide important opportunities to acquire new, or improve existing skills in community-based development planning and urban planning. They can </w:t>
      </w:r>
      <w:r>
        <w:t xml:space="preserve">enable community members to </w:t>
      </w:r>
      <w:r w:rsidR="000F4F3D">
        <w:t xml:space="preserve">enhance their understanding of the legislative framework for planning and development, and </w:t>
      </w:r>
      <w:r>
        <w:t>the ways in which</w:t>
      </w:r>
      <w:r w:rsidR="000F4F3D">
        <w:t xml:space="preserve"> these regulations and policies </w:t>
      </w:r>
      <w:r>
        <w:t xml:space="preserve">affect </w:t>
      </w:r>
      <w:r w:rsidR="000F4F3D">
        <w:t>their own development aspirations.</w:t>
      </w:r>
      <w:r>
        <w:t xml:space="preserve"> C</w:t>
      </w:r>
      <w:r w:rsidR="00FD216C" w:rsidRPr="00FD216C">
        <w:t xml:space="preserve">ommunity </w:t>
      </w:r>
      <w:r>
        <w:t xml:space="preserve">members can also learn </w:t>
      </w:r>
      <w:r w:rsidR="00FD216C" w:rsidRPr="00FD216C">
        <w:t>much about the approach of universities</w:t>
      </w:r>
      <w:r w:rsidR="00AE7902" w:rsidRPr="00AE7902">
        <w:t xml:space="preserve"> </w:t>
      </w:r>
      <w:r w:rsidR="00AE7902">
        <w:t xml:space="preserve">to </w:t>
      </w:r>
      <w:r w:rsidR="00AE7902" w:rsidRPr="00FD216C">
        <w:t>planning education</w:t>
      </w:r>
      <w:r w:rsidR="00FD216C" w:rsidRPr="00FD216C">
        <w:t xml:space="preserve">. </w:t>
      </w:r>
    </w:p>
    <w:p w14:paraId="5ADC2234" w14:textId="08716D87" w:rsidR="000F400C" w:rsidRDefault="00AE7902" w:rsidP="00AE7902">
      <w:pPr>
        <w:pStyle w:val="ListParagraph"/>
        <w:numPr>
          <w:ilvl w:val="0"/>
          <w:numId w:val="5"/>
        </w:numPr>
      </w:pPr>
      <w:r w:rsidRPr="00AE7902">
        <w:rPr>
          <w:b/>
        </w:rPr>
        <w:t xml:space="preserve">Enhancing </w:t>
      </w:r>
      <w:r>
        <w:rPr>
          <w:b/>
        </w:rPr>
        <w:t xml:space="preserve">development </w:t>
      </w:r>
      <w:r w:rsidRPr="00AE7902">
        <w:rPr>
          <w:b/>
        </w:rPr>
        <w:t>capacities</w:t>
      </w:r>
      <w:r>
        <w:t>: Multi-partner studio projects gi</w:t>
      </w:r>
      <w:r w:rsidR="00FD216C" w:rsidRPr="00FD216C">
        <w:t xml:space="preserve">ve </w:t>
      </w:r>
      <w:r>
        <w:t xml:space="preserve">informal urban </w:t>
      </w:r>
      <w:r w:rsidR="00FD216C" w:rsidRPr="00FD216C">
        <w:t>communities a platform for a stronger voice to air their views</w:t>
      </w:r>
      <w:r w:rsidR="00753423">
        <w:t>, and can expand their options regarding local development strategies</w:t>
      </w:r>
      <w:r w:rsidR="00071F3D">
        <w:t>.</w:t>
      </w:r>
      <w:r>
        <w:t xml:space="preserve"> Studio outputs can act as</w:t>
      </w:r>
      <w:r w:rsidR="000F400C">
        <w:t xml:space="preserve"> a basis for communities and federations to influence future investments in the upgrading of the settlements.</w:t>
      </w:r>
      <w:r>
        <w:t xml:space="preserve"> Considering that </w:t>
      </w:r>
      <w:r w:rsidR="000F400C">
        <w:t>upgrading projects often include significant funding for conducting preliminary surveys and mobili</w:t>
      </w:r>
      <w:r>
        <w:t>z</w:t>
      </w:r>
      <w:r w:rsidR="000F400C">
        <w:t xml:space="preserve">ing communities, studio outputs provide a database that can be updated regularly </w:t>
      </w:r>
      <w:r>
        <w:t xml:space="preserve">and </w:t>
      </w:r>
      <w:r w:rsidR="000F400C">
        <w:t xml:space="preserve">thereby allowing funds that would normally be allocated to information collection to be channelled to other project activities. In addition, sustained studio projects </w:t>
      </w:r>
      <w:r w:rsidR="00753423">
        <w:t xml:space="preserve">and their outputs </w:t>
      </w:r>
      <w:r w:rsidR="000F400C">
        <w:t xml:space="preserve">can be used to leverage resources </w:t>
      </w:r>
      <w:r w:rsidR="00614475">
        <w:t xml:space="preserve">(from local and national government, as well as external donors) </w:t>
      </w:r>
      <w:r w:rsidR="000F400C">
        <w:t xml:space="preserve">for the implementation of various development projects. </w:t>
      </w:r>
    </w:p>
    <w:p w14:paraId="18A69FEA" w14:textId="77777777" w:rsidR="00AE7902" w:rsidRDefault="00AE7902" w:rsidP="00AE7902"/>
    <w:p w14:paraId="6B1C46AE" w14:textId="267D7B73" w:rsidR="00AE7902" w:rsidRDefault="00071F3D" w:rsidP="00AE7902">
      <w:r>
        <w:t xml:space="preserve">Overall, </w:t>
      </w:r>
      <w:r w:rsidR="00AE7902">
        <w:t>community-based studio projects</w:t>
      </w:r>
      <w:r>
        <w:t xml:space="preserve"> allow for the </w:t>
      </w:r>
      <w:r w:rsidR="00B0074A">
        <w:t xml:space="preserve">knowledge-based, </w:t>
      </w:r>
      <w:r>
        <w:t xml:space="preserve">institutional and practical ‘gaps’ existing between </w:t>
      </w:r>
      <w:r w:rsidR="00B0074A">
        <w:t>civil society, academia and state agencies</w:t>
      </w:r>
      <w:r w:rsidR="00AE7902">
        <w:t xml:space="preserve"> to be overcome</w:t>
      </w:r>
      <w:r w:rsidR="00B0074A">
        <w:t>.</w:t>
      </w:r>
      <w:r w:rsidR="00AE7902">
        <w:t xml:space="preserve"> </w:t>
      </w:r>
      <w:r w:rsidR="00B0074A">
        <w:t xml:space="preserve">A particular ‘gap’ that can be addressed </w:t>
      </w:r>
      <w:r w:rsidR="00AE7902">
        <w:t xml:space="preserve">in conducting these projects </w:t>
      </w:r>
      <w:r w:rsidR="00B0074A">
        <w:t>is that between the provisions and standards of municipal legislation</w:t>
      </w:r>
      <w:r w:rsidR="00AE7902">
        <w:t>, on one hand,</w:t>
      </w:r>
      <w:r w:rsidR="00B0074A">
        <w:t xml:space="preserve"> and the realities of urban informality</w:t>
      </w:r>
      <w:r w:rsidR="00AE7902">
        <w:t xml:space="preserve"> on the other</w:t>
      </w:r>
      <w:r w:rsidR="00B0074A">
        <w:t xml:space="preserve">. As the Salisbury Lines studio report </w:t>
      </w:r>
      <w:r w:rsidR="00281B4D">
        <w:t>stated</w:t>
      </w:r>
      <w:r w:rsidR="00B0074A">
        <w:t xml:space="preserve">: “If significant progress is to be made, this gap needs to be narrowed in a clear and coordinated manner that draws communities into the framework as partners and drivers in a responsive planning and upgrading process”. </w:t>
      </w:r>
      <w:r w:rsidR="00AE7902">
        <w:t>This points towards the potential of studio projects as key opportunities</w:t>
      </w:r>
      <w:r w:rsidR="00580BCB">
        <w:t xml:space="preserve"> to develop new planning approaches and practices</w:t>
      </w:r>
      <w:r w:rsidR="00AE7902">
        <w:t xml:space="preserve">. The </w:t>
      </w:r>
      <w:r w:rsidR="00753423">
        <w:t>same studio</w:t>
      </w:r>
      <w:r w:rsidR="002C042B">
        <w:t xml:space="preserve"> </w:t>
      </w:r>
      <w:r w:rsidR="00AE7902">
        <w:t xml:space="preserve">report </w:t>
      </w:r>
      <w:r w:rsidR="002C042B">
        <w:t>concluded</w:t>
      </w:r>
      <w:r w:rsidR="00AE7902">
        <w:t xml:space="preserve">: </w:t>
      </w:r>
    </w:p>
    <w:p w14:paraId="73082A78" w14:textId="77777777" w:rsidR="00AE7902" w:rsidRDefault="00AE7902" w:rsidP="00AE7902"/>
    <w:p w14:paraId="637838D7" w14:textId="3AA9C8FF" w:rsidR="00580BCB" w:rsidRPr="00AE7902" w:rsidRDefault="00580BCB" w:rsidP="00AE7902">
      <w:pPr>
        <w:ind w:left="720"/>
        <w:rPr>
          <w:i/>
        </w:rPr>
      </w:pPr>
      <w:r w:rsidRPr="00AE7902">
        <w:rPr>
          <w:i/>
        </w:rPr>
        <w:t>Coproduction of upgrading projects with communities can significantly contribute to shifting from the use of communities as seedbeds for testing the viability of abstract upgrading theories towards more pragmat</w:t>
      </w:r>
      <w:r w:rsidR="00AE7902" w:rsidRPr="00AE7902">
        <w:rPr>
          <w:i/>
        </w:rPr>
        <w:t>ic and productive interventions</w:t>
      </w:r>
      <w:r w:rsidRPr="00AE7902">
        <w:rPr>
          <w:i/>
        </w:rPr>
        <w:t>.</w:t>
      </w:r>
    </w:p>
    <w:p w14:paraId="1E90AB84" w14:textId="77777777" w:rsidR="00AE7902" w:rsidRDefault="00AE7902" w:rsidP="00AE7902"/>
    <w:p w14:paraId="0B2A27A3" w14:textId="7405D0F7" w:rsidR="00385BCC" w:rsidRPr="00AE7902" w:rsidRDefault="00385BCC" w:rsidP="00AE7902">
      <w:pPr>
        <w:rPr>
          <w:i/>
        </w:rPr>
      </w:pPr>
      <w:r w:rsidRPr="00AE7902">
        <w:rPr>
          <w:i/>
        </w:rPr>
        <w:t>Recommendations</w:t>
      </w:r>
    </w:p>
    <w:p w14:paraId="3BA7B719" w14:textId="77777777" w:rsidR="00AE7902" w:rsidRDefault="00AE7902" w:rsidP="00AE7902"/>
    <w:p w14:paraId="2EBA736D" w14:textId="725069BA" w:rsidR="00D54A3E" w:rsidRDefault="00D54A3E" w:rsidP="00AE7902">
      <w:r w:rsidRPr="00F47E4E">
        <w:rPr>
          <w:b/>
        </w:rPr>
        <w:t>Site selection</w:t>
      </w:r>
      <w:r w:rsidR="00AE7902">
        <w:t xml:space="preserve">: </w:t>
      </w:r>
      <w:r>
        <w:t>Cho</w:t>
      </w:r>
      <w:r w:rsidR="00AE7902">
        <w:t>o</w:t>
      </w:r>
      <w:r>
        <w:t>se a site situated relatively close to the university. However, if the most conducive site</w:t>
      </w:r>
      <w:r w:rsidR="00AE7902">
        <w:t xml:space="preserve"> and </w:t>
      </w:r>
      <w:r>
        <w:t>community is situated far away</w:t>
      </w:r>
      <w:r w:rsidR="00AE7902">
        <w:t xml:space="preserve"> from the campus</w:t>
      </w:r>
      <w:r>
        <w:t>, SDI affiliates, local government and donor agencies are potential sources of funding to cover transportation costs</w:t>
      </w:r>
      <w:r w:rsidR="00AE7902">
        <w:t xml:space="preserve"> (as was the case in the Ugandan studio)</w:t>
      </w:r>
      <w:r>
        <w:t>.</w:t>
      </w:r>
    </w:p>
    <w:p w14:paraId="65A19BCC" w14:textId="77777777" w:rsidR="00F47E4E" w:rsidRDefault="00F47E4E" w:rsidP="00F47E4E"/>
    <w:p w14:paraId="68C8311A" w14:textId="692C7FCC" w:rsidR="00374BB4" w:rsidRPr="00385BCC" w:rsidRDefault="008A6471" w:rsidP="00F47E4E">
      <w:r w:rsidRPr="00F47E4E">
        <w:rPr>
          <w:b/>
        </w:rPr>
        <w:lastRenderedPageBreak/>
        <w:t>Studio preparation</w:t>
      </w:r>
      <w:r w:rsidR="00F47E4E">
        <w:t xml:space="preserve">: Experience showed that universities often underestimate the degree of preparation required prior to conducting community-based educational projects. As such, </w:t>
      </w:r>
      <w:r>
        <w:t>extensive studio preparation is</w:t>
      </w:r>
      <w:r w:rsidR="00F47E4E">
        <w:t xml:space="preserve"> required</w:t>
      </w:r>
      <w:r>
        <w:t xml:space="preserve">, particularly in contexts where such projects are being undertaken for the first time. Preparation needs to go beyond </w:t>
      </w:r>
      <w:r w:rsidR="00F47E4E">
        <w:t xml:space="preserve">organizing launch and </w:t>
      </w:r>
      <w:r>
        <w:t>briefing events</w:t>
      </w:r>
      <w:r w:rsidR="00F47E4E">
        <w:t>,</w:t>
      </w:r>
      <w:r>
        <w:t xml:space="preserve"> to </w:t>
      </w:r>
      <w:r w:rsidR="00F47E4E">
        <w:t xml:space="preserve">conducting </w:t>
      </w:r>
      <w:r w:rsidR="00CC56DE">
        <w:t>pre-studio workshop meetings</w:t>
      </w:r>
      <w:r>
        <w:t xml:space="preserve"> involving all </w:t>
      </w:r>
      <w:r w:rsidR="00F47E4E">
        <w:t xml:space="preserve">project </w:t>
      </w:r>
      <w:r>
        <w:t xml:space="preserve">stakeholders (university, community federation, local government, SDI affiliates) as well as other parties (local schools, churches, donor agencies, NGOs) to secure maximal </w:t>
      </w:r>
      <w:r w:rsidR="00CC56DE">
        <w:t xml:space="preserve">awareness, </w:t>
      </w:r>
      <w:r>
        <w:t>participation and cooperation</w:t>
      </w:r>
      <w:r w:rsidR="00F47E4E">
        <w:t xml:space="preserve"> between parties</w:t>
      </w:r>
      <w:r>
        <w:t xml:space="preserve">. </w:t>
      </w:r>
      <w:r w:rsidR="00CC56DE">
        <w:t xml:space="preserve">Due consideration has to be given to issues of staff and student capacity, and the availability of </w:t>
      </w:r>
      <w:r w:rsidR="00F47E4E">
        <w:t>mapping technologies, for example, prior to starting such projects</w:t>
      </w:r>
      <w:r w:rsidR="00CC56DE">
        <w:t>.</w:t>
      </w:r>
      <w:r w:rsidR="00CC56DE" w:rsidRPr="00CC56DE">
        <w:t xml:space="preserve"> </w:t>
      </w:r>
      <w:r w:rsidR="00CC56DE" w:rsidRPr="00385BCC">
        <w:t>In order to increase supervision and mentoring</w:t>
      </w:r>
      <w:r w:rsidR="00F47E4E">
        <w:t xml:space="preserve"> capacity</w:t>
      </w:r>
      <w:r w:rsidR="00CC56DE" w:rsidRPr="00385BCC">
        <w:t xml:space="preserve">, </w:t>
      </w:r>
      <w:r w:rsidR="00F47E4E">
        <w:t>one option is to make entry to these projects competitive, limiting student</w:t>
      </w:r>
      <w:r w:rsidR="00CC56DE" w:rsidRPr="00385BCC">
        <w:t xml:space="preserve"> numbers so that only befitting students are selected. The application process </w:t>
      </w:r>
      <w:r w:rsidR="00F47E4E">
        <w:t xml:space="preserve">could </w:t>
      </w:r>
      <w:r w:rsidR="00CC56DE" w:rsidRPr="00385BCC">
        <w:t xml:space="preserve">be used to </w:t>
      </w:r>
      <w:r w:rsidR="00F47E4E">
        <w:t xml:space="preserve">assess </w:t>
      </w:r>
      <w:r w:rsidR="00CC56DE" w:rsidRPr="00385BCC">
        <w:t>student</w:t>
      </w:r>
      <w:r w:rsidR="00F47E4E">
        <w:t>s’ commitment to the work. T</w:t>
      </w:r>
      <w:r w:rsidR="00CC56DE" w:rsidRPr="00385BCC">
        <w:t xml:space="preserve">he competitive nature of the studio </w:t>
      </w:r>
      <w:r w:rsidR="00F47E4E">
        <w:t xml:space="preserve">could </w:t>
      </w:r>
      <w:r w:rsidR="00CC56DE" w:rsidRPr="00385BCC">
        <w:t xml:space="preserve">build its reputation and </w:t>
      </w:r>
      <w:r w:rsidR="00F47E4E">
        <w:t xml:space="preserve">enhance its </w:t>
      </w:r>
      <w:r w:rsidR="00CC56DE" w:rsidRPr="00385BCC">
        <w:t xml:space="preserve">benefit </w:t>
      </w:r>
      <w:r w:rsidR="00F47E4E">
        <w:t xml:space="preserve">for </w:t>
      </w:r>
      <w:r w:rsidR="00CC56DE" w:rsidRPr="00385BCC">
        <w:t>participating students.</w:t>
      </w:r>
      <w:r w:rsidR="00F47E4E">
        <w:t xml:space="preserve"> </w:t>
      </w:r>
      <w:r w:rsidR="00374BB4">
        <w:t>If the studio involves undergraduate students, t</w:t>
      </w:r>
      <w:r w:rsidR="00374BB4" w:rsidRPr="00385BCC">
        <w:t xml:space="preserve">he idea of using graduate students in the exercise should be encouraged, as means of sharing knowledge and experience. </w:t>
      </w:r>
    </w:p>
    <w:p w14:paraId="02A609ED" w14:textId="3B874EC7" w:rsidR="00385BCC" w:rsidRDefault="00385BCC" w:rsidP="00F47E4E">
      <w:pPr>
        <w:pStyle w:val="ListParagraph"/>
        <w:ind w:left="2160"/>
      </w:pPr>
    </w:p>
    <w:p w14:paraId="0CA7EECC" w14:textId="1B5B5962" w:rsidR="008A6471" w:rsidRDefault="00CC56DE" w:rsidP="00F47E4E">
      <w:r w:rsidRPr="00F47E4E">
        <w:rPr>
          <w:b/>
        </w:rPr>
        <w:t>Data analysis</w:t>
      </w:r>
      <w:r w:rsidR="00F47E4E">
        <w:t xml:space="preserve">: </w:t>
      </w:r>
      <w:r w:rsidR="00EA1FEE">
        <w:t xml:space="preserve">Giving feedback to communities </w:t>
      </w:r>
      <w:r w:rsidR="00F47E4E">
        <w:t xml:space="preserve">by organizing joint events and presentations </w:t>
      </w:r>
      <w:r w:rsidR="00EA1FEE">
        <w:t xml:space="preserve">is vitally </w:t>
      </w:r>
      <w:r w:rsidR="008A6471">
        <w:t>important</w:t>
      </w:r>
      <w:r w:rsidR="00EA1FEE">
        <w:t xml:space="preserve"> and can help to alleviate issues relating to community fatigue</w:t>
      </w:r>
      <w:r w:rsidR="00F47E4E">
        <w:t xml:space="preserve">, sustaining interest in and commitment to the project. </w:t>
      </w:r>
      <w:r w:rsidR="008A6471">
        <w:t xml:space="preserve">Data verification techniques are </w:t>
      </w:r>
      <w:r w:rsidR="00F47E4E">
        <w:t>also essential, and</w:t>
      </w:r>
      <w:r w:rsidR="008A6471">
        <w:t xml:space="preserve"> can help to turn studio products into workable resources for local government planning processes.</w:t>
      </w:r>
    </w:p>
    <w:p w14:paraId="1A80C3B2" w14:textId="77777777" w:rsidR="00F47E4E" w:rsidRDefault="00F47E4E" w:rsidP="00F47E4E"/>
    <w:p w14:paraId="4C194B77" w14:textId="25BF0647" w:rsidR="00D651E9" w:rsidRDefault="00D651E9" w:rsidP="006314EF">
      <w:r w:rsidRPr="00F47E4E">
        <w:rPr>
          <w:b/>
        </w:rPr>
        <w:t>Being strategic</w:t>
      </w:r>
      <w:r w:rsidR="00F47E4E">
        <w:t xml:space="preserve">: </w:t>
      </w:r>
      <w:r>
        <w:t xml:space="preserve">It is </w:t>
      </w:r>
      <w:r w:rsidR="00F47E4E">
        <w:t xml:space="preserve">essential that educational </w:t>
      </w:r>
      <w:r>
        <w:t>st</w:t>
      </w:r>
      <w:r w:rsidR="00F47E4E">
        <w:t>udio projects</w:t>
      </w:r>
      <w:r>
        <w:t xml:space="preserve"> are </w:t>
      </w:r>
      <w:r w:rsidR="00F47E4E">
        <w:t xml:space="preserve">seen as </w:t>
      </w:r>
      <w:r>
        <w:t xml:space="preserve">part of a far larger challenge that calls into question the ways urban planning and management in African cities is shaped towards the exclusion of the urban poor. </w:t>
      </w:r>
      <w:r w:rsidR="00F47E4E">
        <w:t>However, p</w:t>
      </w:r>
      <w:r>
        <w:t xml:space="preserve">lanning schools are only one of many organizations that affect the urban landscape and while working to reimagine planning will make strides in changing current perceptions of African urbanism, </w:t>
      </w:r>
      <w:r w:rsidR="006314EF">
        <w:t>this</w:t>
      </w:r>
      <w:r>
        <w:t xml:space="preserve"> is only part of </w:t>
      </w:r>
      <w:r w:rsidR="006314EF">
        <w:t>the task of rethinking African cities</w:t>
      </w:r>
      <w:r>
        <w:t>.</w:t>
      </w:r>
      <w:r w:rsidR="006314EF">
        <w:t xml:space="preserve"> </w:t>
      </w:r>
      <w:r>
        <w:t xml:space="preserve">In order to drive this challenge, it is vital that studios are not isolated events, conducted only when external funding is available, but </w:t>
      </w:r>
      <w:r w:rsidR="006314EF">
        <w:t xml:space="preserve">are </w:t>
      </w:r>
      <w:r>
        <w:t>part of an incremental process of sustained engagement</w:t>
      </w:r>
      <w:r w:rsidR="006314EF">
        <w:t xml:space="preserve"> between university, NGO and community partners</w:t>
      </w:r>
      <w:r>
        <w:t xml:space="preserve">. This can have a knock-on effect in terms of promoting the review and reform of </w:t>
      </w:r>
      <w:r w:rsidR="006314EF">
        <w:t xml:space="preserve">official </w:t>
      </w:r>
      <w:r>
        <w:t>urban development strategies, norms and standards towards more inclusive forms.</w:t>
      </w:r>
      <w:r w:rsidR="00770789">
        <w:t xml:space="preserve"> </w:t>
      </w:r>
      <w:r w:rsidR="00770789" w:rsidRPr="00770789">
        <w:rPr>
          <w:lang w:val="en-US"/>
        </w:rPr>
        <w:t>To achieve this it will</w:t>
      </w:r>
      <w:r w:rsidR="00770789">
        <w:rPr>
          <w:lang w:val="en-US"/>
        </w:rPr>
        <w:t>, in most cases,</w:t>
      </w:r>
      <w:r w:rsidR="00770789" w:rsidRPr="00770789">
        <w:rPr>
          <w:lang w:val="en-US"/>
        </w:rPr>
        <w:t xml:space="preserve"> be necessary to </w:t>
      </w:r>
      <w:r w:rsidR="00770789">
        <w:rPr>
          <w:lang w:val="en-US"/>
        </w:rPr>
        <w:t>‘</w:t>
      </w:r>
      <w:r w:rsidR="00770789" w:rsidRPr="00770789">
        <w:rPr>
          <w:lang w:val="en-US"/>
        </w:rPr>
        <w:t>sell</w:t>
      </w:r>
      <w:r w:rsidR="00770789">
        <w:rPr>
          <w:lang w:val="en-US"/>
        </w:rPr>
        <w:t>’</w:t>
      </w:r>
      <w:r w:rsidR="00770789" w:rsidRPr="00770789">
        <w:rPr>
          <w:lang w:val="en-US"/>
        </w:rPr>
        <w:t xml:space="preserve"> the studio approach and its rationale wide</w:t>
      </w:r>
      <w:r w:rsidR="00770789">
        <w:rPr>
          <w:lang w:val="en-US"/>
        </w:rPr>
        <w:t>ly</w:t>
      </w:r>
      <w:r w:rsidR="00770789" w:rsidRPr="00770789">
        <w:rPr>
          <w:lang w:val="en-US"/>
        </w:rPr>
        <w:t xml:space="preserve"> </w:t>
      </w:r>
      <w:r w:rsidR="00770789">
        <w:rPr>
          <w:lang w:val="en-US"/>
        </w:rPr>
        <w:t>to policy</w:t>
      </w:r>
      <w:r w:rsidR="00770789" w:rsidRPr="00770789">
        <w:rPr>
          <w:lang w:val="en-US"/>
        </w:rPr>
        <w:t>makers, politicians and senior planners</w:t>
      </w:r>
      <w:r w:rsidR="00770789">
        <w:rPr>
          <w:lang w:val="en-US"/>
        </w:rPr>
        <w:t>,</w:t>
      </w:r>
      <w:r w:rsidR="00770789" w:rsidRPr="00770789">
        <w:rPr>
          <w:lang w:val="en-US"/>
        </w:rPr>
        <w:t xml:space="preserve"> who </w:t>
      </w:r>
      <w:r w:rsidR="00770789">
        <w:rPr>
          <w:lang w:val="en-US"/>
        </w:rPr>
        <w:t xml:space="preserve">may </w:t>
      </w:r>
      <w:r w:rsidR="00770789" w:rsidRPr="00770789">
        <w:rPr>
          <w:lang w:val="en-US"/>
        </w:rPr>
        <w:t xml:space="preserve">wish </w:t>
      </w:r>
      <w:r w:rsidR="00770789">
        <w:rPr>
          <w:lang w:val="en-US"/>
        </w:rPr>
        <w:t xml:space="preserve">(for various reasons) </w:t>
      </w:r>
      <w:r w:rsidR="00770789" w:rsidRPr="00770789">
        <w:rPr>
          <w:lang w:val="en-US"/>
        </w:rPr>
        <w:t>to maintain the status quo</w:t>
      </w:r>
      <w:r w:rsidR="00770789">
        <w:rPr>
          <w:lang w:val="en-US"/>
        </w:rPr>
        <w:t xml:space="preserve"> of ‘modern’ planning practices and standards that are intolerant of informal urban conditions</w:t>
      </w:r>
      <w:r w:rsidR="00770789" w:rsidRPr="00770789">
        <w:rPr>
          <w:lang w:val="en-US"/>
        </w:rPr>
        <w:t>.</w:t>
      </w:r>
    </w:p>
    <w:p w14:paraId="7DA73F42" w14:textId="77777777" w:rsidR="006314EF" w:rsidRDefault="006314EF" w:rsidP="006314EF"/>
    <w:p w14:paraId="1FA8D44A" w14:textId="5946AE8D" w:rsidR="00BC108A" w:rsidRDefault="00374BB4" w:rsidP="006314EF">
      <w:r w:rsidRPr="006314EF">
        <w:rPr>
          <w:b/>
        </w:rPr>
        <w:t>Promoting sustainability</w:t>
      </w:r>
      <w:r w:rsidR="006314EF">
        <w:t xml:space="preserve">: </w:t>
      </w:r>
      <w:r w:rsidR="00580BCB">
        <w:t>Studio</w:t>
      </w:r>
      <w:r w:rsidR="006314EF">
        <w:t xml:space="preserve"> projects</w:t>
      </w:r>
      <w:r w:rsidR="00580BCB">
        <w:t xml:space="preserve"> often result in opportunities for continued collaboration on local development projects</w:t>
      </w:r>
      <w:r w:rsidR="00573622">
        <w:t>, and tend to energize or create momentum around local upgrading efforts. Yet these c</w:t>
      </w:r>
      <w:r w:rsidR="00580BCB">
        <w:t xml:space="preserve">ommunities </w:t>
      </w:r>
      <w:r w:rsidR="006314EF">
        <w:t>can</w:t>
      </w:r>
      <w:r w:rsidR="00580BCB">
        <w:t xml:space="preserve"> lack the appropriate skills to carry out development proposals emerging from </w:t>
      </w:r>
      <w:r w:rsidR="006314EF">
        <w:t>a</w:t>
      </w:r>
      <w:r w:rsidR="00580BCB">
        <w:t xml:space="preserve"> studio. This opens room for planning </w:t>
      </w:r>
      <w:proofErr w:type="gramStart"/>
      <w:r w:rsidR="00580BCB">
        <w:t>schools,</w:t>
      </w:r>
      <w:proofErr w:type="gramEnd"/>
      <w:r w:rsidR="00580BCB">
        <w:t xml:space="preserve"> municipality and federation agencies to further engage </w:t>
      </w:r>
      <w:r w:rsidR="00573622">
        <w:t xml:space="preserve">with and support </w:t>
      </w:r>
      <w:r w:rsidR="00580BCB">
        <w:t>local communities</w:t>
      </w:r>
      <w:r w:rsidR="00573622">
        <w:t xml:space="preserve"> in advancing their development agenda</w:t>
      </w:r>
      <w:r w:rsidR="00580BCB">
        <w:t xml:space="preserve">. It is vital for projects partners, including planning </w:t>
      </w:r>
      <w:r w:rsidR="00580BCB">
        <w:lastRenderedPageBreak/>
        <w:t>schools, to capitalise on these opportunities for continued engagement.</w:t>
      </w:r>
      <w:r w:rsidR="00573622">
        <w:t xml:space="preserve"> The interests and development priorities generated by communities are not always capital intensive, and thus can be advanced with existing technical and financial resources.</w:t>
      </w:r>
      <w:r w:rsidR="006314EF">
        <w:t xml:space="preserve"> </w:t>
      </w:r>
      <w:r w:rsidR="00D651E9">
        <w:t>One practical way of promoting sustainable partnerships is to ensure that studio outputs are tailored for actual development projects.</w:t>
      </w:r>
      <w:r w:rsidR="006314EF">
        <w:t xml:space="preserve"> Another is by incorporating</w:t>
      </w:r>
      <w:r w:rsidR="00D651E9" w:rsidRPr="00385BCC">
        <w:t xml:space="preserve"> the </w:t>
      </w:r>
      <w:r w:rsidR="006314EF">
        <w:t xml:space="preserve">studio </w:t>
      </w:r>
      <w:r w:rsidR="00D651E9" w:rsidRPr="00385BCC">
        <w:t xml:space="preserve">interventions </w:t>
      </w:r>
      <w:r w:rsidR="006314EF">
        <w:t xml:space="preserve">into the agendas and plans of external agencies (such as </w:t>
      </w:r>
      <w:r w:rsidR="00D651E9" w:rsidRPr="00385BCC">
        <w:t>international donors</w:t>
      </w:r>
      <w:r w:rsidR="006314EF">
        <w:t>)</w:t>
      </w:r>
      <w:r w:rsidR="00D651E9" w:rsidRPr="00385BCC">
        <w:t xml:space="preserve"> in order to build local capacity and institutionalize participatory urban development practise and policy.</w:t>
      </w:r>
    </w:p>
    <w:p w14:paraId="52BAEB67" w14:textId="77777777" w:rsidR="00F41E94" w:rsidRDefault="00F41E94" w:rsidP="006314EF"/>
    <w:p w14:paraId="67E5B36B" w14:textId="03D8B8F7" w:rsidR="00F41E94" w:rsidRDefault="00663751" w:rsidP="00663751">
      <w:pPr>
        <w:pStyle w:val="Heading1"/>
        <w:numPr>
          <w:ilvl w:val="0"/>
          <w:numId w:val="14"/>
        </w:numPr>
      </w:pPr>
      <w:r w:rsidRPr="00663751">
        <w:t>Conclusion</w:t>
      </w:r>
    </w:p>
    <w:p w14:paraId="72210A60" w14:textId="77777777" w:rsidR="00F41E94" w:rsidRDefault="00F41E94" w:rsidP="006314EF">
      <w:pPr>
        <w:rPr>
          <w:b/>
        </w:rPr>
      </w:pPr>
    </w:p>
    <w:p w14:paraId="26546DD7" w14:textId="77777777" w:rsidR="00CC4B78" w:rsidRDefault="00845FC0" w:rsidP="006314EF">
      <w:r>
        <w:t xml:space="preserve">The experiences gained from the AAPS-SDI collaborative planning studios have shown that these are highly valuable learning projects, although </w:t>
      </w:r>
      <w:r w:rsidR="00CC4B78">
        <w:t xml:space="preserve">practically </w:t>
      </w:r>
      <w:r>
        <w:t xml:space="preserve">they can be difficult to organize and implement. </w:t>
      </w:r>
      <w:r w:rsidR="00CC4B78">
        <w:t xml:space="preserve">They allow university, community and NGO partners to learn simultaneously in a way that both enhances local capacities for development and challenges conventional planning thought and practice, while opening new possibilities for intervening in informal urban contexts. </w:t>
      </w:r>
    </w:p>
    <w:p w14:paraId="69158BE3" w14:textId="77777777" w:rsidR="00CC4B78" w:rsidRDefault="00CC4B78" w:rsidP="006314EF"/>
    <w:p w14:paraId="6CEC6524" w14:textId="515C0CB8" w:rsidR="005E31EC" w:rsidRDefault="00CC4B78" w:rsidP="005E31EC">
      <w:r>
        <w:t xml:space="preserve">Yet, beyond these learning benefits, </w:t>
      </w:r>
      <w:r w:rsidR="00101DFA">
        <w:t xml:space="preserve">which could be seen as relatively short-term in nature, </w:t>
      </w:r>
      <w:r>
        <w:t>a major rationale for undertaking this series of studio projects was to effect longer-term impacts on planning education and practice</w:t>
      </w:r>
      <w:r w:rsidR="001F226C">
        <w:t xml:space="preserve"> in Africa</w:t>
      </w:r>
      <w:r>
        <w:t xml:space="preserve">. </w:t>
      </w:r>
      <w:r w:rsidR="00845B28">
        <w:t xml:space="preserve">One way of doing so is by embedding </w:t>
      </w:r>
      <w:r w:rsidR="005E31EC">
        <w:t>such</w:t>
      </w:r>
      <w:r w:rsidR="00845B28">
        <w:t xml:space="preserve"> projects within the curricula of African planning schools.</w:t>
      </w:r>
      <w:r w:rsidR="005E31EC">
        <w:t xml:space="preserve"> The </w:t>
      </w:r>
      <w:proofErr w:type="spellStart"/>
      <w:r w:rsidR="005E31EC">
        <w:t>Nancholi</w:t>
      </w:r>
      <w:proofErr w:type="spellEnd"/>
      <w:r w:rsidR="005E31EC">
        <w:t xml:space="preserve"> studio in Blantyre, for example, was one project that insti</w:t>
      </w:r>
      <w:r w:rsidR="00DB3A33">
        <w:t>gated wider curriculum change. At the time of writing i</w:t>
      </w:r>
      <w:r w:rsidR="005E31EC">
        <w:t xml:space="preserve">n 2014, plans were being made for </w:t>
      </w:r>
      <w:r w:rsidR="005E31EC">
        <w:rPr>
          <w:lang w:val="en-US"/>
        </w:rPr>
        <w:t>planning students to</w:t>
      </w:r>
      <w:r w:rsidR="00101DFA">
        <w:rPr>
          <w:lang w:val="en-US"/>
        </w:rPr>
        <w:t xml:space="preserve"> work in an </w:t>
      </w:r>
      <w:r w:rsidR="005E31EC" w:rsidRPr="005E31EC">
        <w:rPr>
          <w:lang w:val="en-US"/>
        </w:rPr>
        <w:t xml:space="preserve">informal settlement </w:t>
      </w:r>
      <w:r w:rsidR="00101DFA">
        <w:rPr>
          <w:lang w:val="en-US"/>
        </w:rPr>
        <w:t xml:space="preserve">in </w:t>
      </w:r>
      <w:proofErr w:type="spellStart"/>
      <w:r w:rsidR="00DB3A33">
        <w:rPr>
          <w:lang w:val="en-US"/>
        </w:rPr>
        <w:t>Ndirande</w:t>
      </w:r>
      <w:proofErr w:type="spellEnd"/>
      <w:r w:rsidR="00DB3A33">
        <w:rPr>
          <w:lang w:val="en-US"/>
        </w:rPr>
        <w:t xml:space="preserve"> </w:t>
      </w:r>
      <w:r w:rsidR="005E31EC" w:rsidRPr="005E31EC">
        <w:rPr>
          <w:lang w:val="en-US"/>
        </w:rPr>
        <w:t xml:space="preserve">with CCODE and </w:t>
      </w:r>
      <w:r w:rsidR="00101DFA">
        <w:rPr>
          <w:lang w:val="en-US"/>
        </w:rPr>
        <w:t>MHPF</w:t>
      </w:r>
      <w:r w:rsidR="005E31EC" w:rsidRPr="005E31EC">
        <w:rPr>
          <w:lang w:val="en-US"/>
        </w:rPr>
        <w:t xml:space="preserve"> members.</w:t>
      </w:r>
      <w:r w:rsidR="005E31EC">
        <w:t xml:space="preserve"> </w:t>
      </w:r>
      <w:r w:rsidR="00DB3A33">
        <w:t>Similar projects were being written into the planning curriculu</w:t>
      </w:r>
      <w:r w:rsidR="001F226C">
        <w:t>m of the Polytechnic of Namibia. The new postgraduate degree in spatial planning offered at the University of Zambia since 2013 also includes collaborative studio projects as a central and compulsory aspect of the programme. These experiences in ‘mainstreaming’ studio teaching and informal settlement upgrading practice provide important reference points for the future progress of African planning education.</w:t>
      </w:r>
    </w:p>
    <w:p w14:paraId="11BD07AB" w14:textId="77777777" w:rsidR="005E31EC" w:rsidRDefault="005E31EC" w:rsidP="005E31EC"/>
    <w:p w14:paraId="19B50A62" w14:textId="6284AFD2" w:rsidR="001F226C" w:rsidRDefault="00A307BC" w:rsidP="005E31EC">
      <w:r w:rsidRPr="00E218EC">
        <w:t xml:space="preserve">The secretariats of AAPS and SDI </w:t>
      </w:r>
      <w:r>
        <w:t xml:space="preserve">deemed these projects successful enough </w:t>
      </w:r>
      <w:r w:rsidRPr="00E218EC">
        <w:t xml:space="preserve">to warrant the </w:t>
      </w:r>
      <w:r>
        <w:t>writing</w:t>
      </w:r>
      <w:r w:rsidRPr="00E218EC">
        <w:t xml:space="preserve"> of </w:t>
      </w:r>
      <w:r>
        <w:t xml:space="preserve">a </w:t>
      </w:r>
      <w:r w:rsidRPr="00E218EC">
        <w:t xml:space="preserve">funding application </w:t>
      </w:r>
      <w:r>
        <w:t xml:space="preserve">to undertake </w:t>
      </w:r>
      <w:r w:rsidRPr="00E218EC">
        <w:t>further</w:t>
      </w:r>
      <w:r>
        <w:t xml:space="preserve"> studios</w:t>
      </w:r>
      <w:r w:rsidR="001F226C">
        <w:t xml:space="preserve">. </w:t>
      </w:r>
      <w:r w:rsidR="00261BDF">
        <w:t xml:space="preserve">The proposal, entitled </w:t>
      </w:r>
      <w:r w:rsidR="00261BDF" w:rsidRPr="00261BDF">
        <w:t xml:space="preserve">‘Creating momentum for change through innovative information generation and engagement at the city level in Africa’ was submitted </w:t>
      </w:r>
      <w:r w:rsidR="00261BDF">
        <w:t xml:space="preserve">to </w:t>
      </w:r>
      <w:r w:rsidR="00261BDF" w:rsidRPr="00261BDF">
        <w:t>and approved by the Cities Alliance Catalytic Fund in August</w:t>
      </w:r>
      <w:r w:rsidR="00261BDF">
        <w:t xml:space="preserve"> 2014</w:t>
      </w:r>
      <w:r w:rsidR="00261BDF" w:rsidRPr="00261BDF">
        <w:t xml:space="preserve">. It </w:t>
      </w:r>
      <w:r w:rsidR="00261BDF">
        <w:t>will provide</w:t>
      </w:r>
      <w:r w:rsidR="00261BDF" w:rsidRPr="00261BDF">
        <w:t xml:space="preserve"> for </w:t>
      </w:r>
      <w:r w:rsidR="00261BDF">
        <w:t>four</w:t>
      </w:r>
      <w:r w:rsidR="00261BDF" w:rsidRPr="00261BDF">
        <w:t xml:space="preserve"> </w:t>
      </w:r>
      <w:r w:rsidR="00261BDF">
        <w:t xml:space="preserve">additional </w:t>
      </w:r>
      <w:r w:rsidR="00261BDF" w:rsidRPr="00261BDF">
        <w:t>AAPS-</w:t>
      </w:r>
      <w:r w:rsidR="00261BDF">
        <w:t>SDI</w:t>
      </w:r>
      <w:r w:rsidR="00261BDF" w:rsidRPr="00261BDF">
        <w:t xml:space="preserve"> teaching studios in </w:t>
      </w:r>
      <w:proofErr w:type="spellStart"/>
      <w:r w:rsidR="00261BDF" w:rsidRPr="00261BDF">
        <w:rPr>
          <w:lang w:val="en-US"/>
        </w:rPr>
        <w:t>Kitui</w:t>
      </w:r>
      <w:proofErr w:type="spellEnd"/>
      <w:r w:rsidR="00261BDF" w:rsidRPr="00261BDF">
        <w:rPr>
          <w:lang w:val="en-US"/>
        </w:rPr>
        <w:t xml:space="preserve"> </w:t>
      </w:r>
      <w:r w:rsidR="00261BDF">
        <w:rPr>
          <w:lang w:val="en-US"/>
        </w:rPr>
        <w:t>(Kenya</w:t>
      </w:r>
      <w:r w:rsidR="00261BDF" w:rsidRPr="00261BDF">
        <w:rPr>
          <w:lang w:val="en-US"/>
        </w:rPr>
        <w:t xml:space="preserve">), Lusaka </w:t>
      </w:r>
      <w:r w:rsidR="00261BDF">
        <w:rPr>
          <w:lang w:val="en-US"/>
        </w:rPr>
        <w:t>(Zambia</w:t>
      </w:r>
      <w:r w:rsidR="00261BDF" w:rsidRPr="00261BDF">
        <w:rPr>
          <w:lang w:val="en-US"/>
        </w:rPr>
        <w:t xml:space="preserve">), </w:t>
      </w:r>
      <w:proofErr w:type="spellStart"/>
      <w:r w:rsidR="00261BDF" w:rsidRPr="00261BDF">
        <w:rPr>
          <w:lang w:val="en-US"/>
        </w:rPr>
        <w:t>Gobabis</w:t>
      </w:r>
      <w:proofErr w:type="spellEnd"/>
      <w:r w:rsidR="00261BDF" w:rsidRPr="00261BDF">
        <w:rPr>
          <w:lang w:val="en-US"/>
        </w:rPr>
        <w:t xml:space="preserve"> </w:t>
      </w:r>
      <w:r w:rsidR="00261BDF">
        <w:rPr>
          <w:lang w:val="en-US"/>
        </w:rPr>
        <w:t xml:space="preserve">(Namibia) and </w:t>
      </w:r>
      <w:r w:rsidR="00261BDF" w:rsidRPr="00261BDF">
        <w:rPr>
          <w:lang w:val="en-US"/>
        </w:rPr>
        <w:t xml:space="preserve">Kampala </w:t>
      </w:r>
      <w:r w:rsidR="00261BDF">
        <w:rPr>
          <w:lang w:val="en-US"/>
        </w:rPr>
        <w:t>(Uganda</w:t>
      </w:r>
      <w:r w:rsidR="00261BDF" w:rsidRPr="00261BDF">
        <w:rPr>
          <w:lang w:val="en-US"/>
        </w:rPr>
        <w:t>)</w:t>
      </w:r>
      <w:r w:rsidR="00261BDF" w:rsidRPr="00261BDF">
        <w:t xml:space="preserve">. </w:t>
      </w:r>
      <w:r w:rsidR="00261BDF">
        <w:t xml:space="preserve">In this series of projects one of the primary objectives is to upscale community engagements and informal settlement upgrading initiatives to the city scale. </w:t>
      </w:r>
      <w:r w:rsidR="00C04F1F">
        <w:t xml:space="preserve">This offers a major opportunity to contribute to future planning practice in Africa, as many urban upgrading and mobilization initiatives tend to remain localised in scale, and often fail to generate lasting impacts on urban management and planning. The </w:t>
      </w:r>
      <w:r w:rsidR="00C04F1F">
        <w:lastRenderedPageBreak/>
        <w:t>hope is that these studios can catalyse news ways of thinking about and responding to urban informality in African cities.</w:t>
      </w:r>
    </w:p>
    <w:p w14:paraId="07A334BD" w14:textId="77777777" w:rsidR="00BC108A" w:rsidRDefault="00BC108A">
      <w:r>
        <w:br w:type="page"/>
      </w:r>
    </w:p>
    <w:p w14:paraId="23D263AD" w14:textId="06AF6556" w:rsidR="00BC108A" w:rsidRDefault="00BC108A" w:rsidP="007903B0">
      <w:pPr>
        <w:pStyle w:val="Heading1"/>
      </w:pPr>
      <w:bookmarkStart w:id="18" w:name="_Toc271363673"/>
      <w:r>
        <w:lastRenderedPageBreak/>
        <w:t>Appendix 1</w:t>
      </w:r>
      <w:r w:rsidR="007903B0">
        <w:t>: Example community profile sheet</w:t>
      </w:r>
      <w:bookmarkEnd w:id="18"/>
    </w:p>
    <w:p w14:paraId="546B7919" w14:textId="704559BD" w:rsidR="007903B0" w:rsidRPr="00B253A0" w:rsidRDefault="007903B0" w:rsidP="007903B0">
      <w:pPr>
        <w:rPr>
          <w:b/>
          <w:sz w:val="20"/>
          <w:szCs w:val="20"/>
        </w:rPr>
      </w:pPr>
    </w:p>
    <w:tbl>
      <w:tblPr>
        <w:tblStyle w:val="TableGrid"/>
        <w:tblW w:w="0" w:type="auto"/>
        <w:tblLook w:val="04A0" w:firstRow="1" w:lastRow="0" w:firstColumn="1" w:lastColumn="0" w:noHBand="0" w:noVBand="1"/>
      </w:tblPr>
      <w:tblGrid>
        <w:gridCol w:w="2927"/>
        <w:gridCol w:w="2782"/>
        <w:gridCol w:w="2807"/>
      </w:tblGrid>
      <w:tr w:rsidR="007903B0" w:rsidRPr="00B253A0" w14:paraId="5803DB83" w14:textId="77777777" w:rsidTr="007903B0">
        <w:tc>
          <w:tcPr>
            <w:tcW w:w="3080" w:type="dxa"/>
          </w:tcPr>
          <w:p w14:paraId="3A1185E8" w14:textId="77777777" w:rsidR="007903B0" w:rsidRPr="00B253A0" w:rsidRDefault="007903B0" w:rsidP="007903B0">
            <w:pPr>
              <w:rPr>
                <w:b/>
                <w:sz w:val="20"/>
                <w:szCs w:val="20"/>
              </w:rPr>
            </w:pPr>
            <w:r w:rsidRPr="00B253A0">
              <w:rPr>
                <w:b/>
                <w:sz w:val="20"/>
                <w:szCs w:val="20"/>
              </w:rPr>
              <w:t>Name of the Settlement</w:t>
            </w:r>
          </w:p>
        </w:tc>
        <w:tc>
          <w:tcPr>
            <w:tcW w:w="6162" w:type="dxa"/>
            <w:gridSpan w:val="2"/>
          </w:tcPr>
          <w:p w14:paraId="4D4AD63E" w14:textId="1A0D1D94" w:rsidR="007903B0" w:rsidRPr="00B253A0" w:rsidRDefault="007903B0" w:rsidP="007903B0">
            <w:pPr>
              <w:rPr>
                <w:sz w:val="20"/>
                <w:szCs w:val="20"/>
              </w:rPr>
            </w:pPr>
            <w:proofErr w:type="spellStart"/>
            <w:r w:rsidRPr="00B253A0">
              <w:rPr>
                <w:sz w:val="20"/>
                <w:szCs w:val="20"/>
              </w:rPr>
              <w:t>Kombo</w:t>
            </w:r>
            <w:proofErr w:type="spellEnd"/>
            <w:r w:rsidR="00CF56A5" w:rsidRPr="00B253A0">
              <w:rPr>
                <w:sz w:val="20"/>
                <w:szCs w:val="20"/>
              </w:rPr>
              <w:t xml:space="preserve"> (Dar </w:t>
            </w:r>
            <w:proofErr w:type="spellStart"/>
            <w:r w:rsidR="00CF56A5" w:rsidRPr="00B253A0">
              <w:rPr>
                <w:sz w:val="20"/>
                <w:szCs w:val="20"/>
              </w:rPr>
              <w:t>es</w:t>
            </w:r>
            <w:proofErr w:type="spellEnd"/>
            <w:r w:rsidR="00CF56A5" w:rsidRPr="00B253A0">
              <w:rPr>
                <w:sz w:val="20"/>
                <w:szCs w:val="20"/>
              </w:rPr>
              <w:t xml:space="preserve"> Salaam, Tanzania)</w:t>
            </w:r>
          </w:p>
          <w:p w14:paraId="4B09F4DF" w14:textId="77777777" w:rsidR="007903B0" w:rsidRPr="00B253A0" w:rsidRDefault="007903B0" w:rsidP="007903B0">
            <w:pPr>
              <w:rPr>
                <w:sz w:val="20"/>
                <w:szCs w:val="20"/>
              </w:rPr>
            </w:pPr>
          </w:p>
        </w:tc>
      </w:tr>
      <w:tr w:rsidR="007903B0" w:rsidRPr="00B253A0" w14:paraId="6A9F5EFE" w14:textId="77777777" w:rsidTr="007903B0">
        <w:tc>
          <w:tcPr>
            <w:tcW w:w="3080" w:type="dxa"/>
            <w:vMerge w:val="restart"/>
          </w:tcPr>
          <w:p w14:paraId="27091BE4" w14:textId="77777777" w:rsidR="007903B0" w:rsidRPr="00B253A0" w:rsidRDefault="007903B0" w:rsidP="007903B0">
            <w:pPr>
              <w:rPr>
                <w:b/>
                <w:sz w:val="20"/>
                <w:szCs w:val="20"/>
              </w:rPr>
            </w:pPr>
            <w:r w:rsidRPr="00B253A0">
              <w:rPr>
                <w:b/>
                <w:sz w:val="20"/>
                <w:szCs w:val="20"/>
              </w:rPr>
              <w:t>Size of the Settlement</w:t>
            </w:r>
          </w:p>
        </w:tc>
        <w:tc>
          <w:tcPr>
            <w:tcW w:w="3081" w:type="dxa"/>
          </w:tcPr>
          <w:p w14:paraId="237FB180" w14:textId="77777777" w:rsidR="007903B0" w:rsidRPr="00B253A0" w:rsidRDefault="007903B0" w:rsidP="007903B0">
            <w:pPr>
              <w:rPr>
                <w:b/>
                <w:i/>
                <w:sz w:val="20"/>
                <w:szCs w:val="20"/>
              </w:rPr>
            </w:pPr>
            <w:r w:rsidRPr="00B253A0">
              <w:rPr>
                <w:b/>
                <w:i/>
                <w:sz w:val="20"/>
                <w:szCs w:val="20"/>
              </w:rPr>
              <w:t>Estimated Land Coverage</w:t>
            </w:r>
          </w:p>
        </w:tc>
        <w:tc>
          <w:tcPr>
            <w:tcW w:w="3081" w:type="dxa"/>
          </w:tcPr>
          <w:p w14:paraId="74C953C3" w14:textId="77777777" w:rsidR="007903B0" w:rsidRPr="00B253A0" w:rsidRDefault="007903B0" w:rsidP="007903B0">
            <w:pPr>
              <w:rPr>
                <w:b/>
                <w:i/>
                <w:sz w:val="20"/>
                <w:szCs w:val="20"/>
              </w:rPr>
            </w:pPr>
            <w:r w:rsidRPr="00B253A0">
              <w:rPr>
                <w:b/>
                <w:i/>
                <w:sz w:val="20"/>
                <w:szCs w:val="20"/>
              </w:rPr>
              <w:t>Estimated Population Size (No. Of HH and total Population)</w:t>
            </w:r>
          </w:p>
        </w:tc>
      </w:tr>
      <w:tr w:rsidR="007903B0" w:rsidRPr="00B253A0" w14:paraId="705FCA00" w14:textId="77777777" w:rsidTr="007903B0">
        <w:tc>
          <w:tcPr>
            <w:tcW w:w="3080" w:type="dxa"/>
            <w:vMerge/>
          </w:tcPr>
          <w:p w14:paraId="7F0C198D" w14:textId="77777777" w:rsidR="007903B0" w:rsidRPr="00B253A0" w:rsidRDefault="007903B0" w:rsidP="007903B0">
            <w:pPr>
              <w:rPr>
                <w:b/>
                <w:sz w:val="20"/>
                <w:szCs w:val="20"/>
              </w:rPr>
            </w:pPr>
          </w:p>
        </w:tc>
        <w:tc>
          <w:tcPr>
            <w:tcW w:w="3081" w:type="dxa"/>
          </w:tcPr>
          <w:p w14:paraId="0E3D29EA" w14:textId="77777777" w:rsidR="007903B0" w:rsidRPr="00B253A0" w:rsidRDefault="007903B0" w:rsidP="007903B0">
            <w:pPr>
              <w:rPr>
                <w:sz w:val="20"/>
                <w:szCs w:val="20"/>
              </w:rPr>
            </w:pPr>
          </w:p>
          <w:p w14:paraId="5B7DBADE" w14:textId="77777777" w:rsidR="007903B0" w:rsidRPr="00B253A0" w:rsidRDefault="007903B0" w:rsidP="007903B0">
            <w:pPr>
              <w:rPr>
                <w:sz w:val="20"/>
                <w:szCs w:val="20"/>
              </w:rPr>
            </w:pPr>
          </w:p>
          <w:p w14:paraId="0176ADB8" w14:textId="77777777" w:rsidR="007903B0" w:rsidRPr="00B253A0" w:rsidRDefault="007903B0" w:rsidP="007903B0">
            <w:pPr>
              <w:rPr>
                <w:sz w:val="20"/>
                <w:szCs w:val="20"/>
              </w:rPr>
            </w:pPr>
          </w:p>
        </w:tc>
        <w:tc>
          <w:tcPr>
            <w:tcW w:w="3081" w:type="dxa"/>
          </w:tcPr>
          <w:p w14:paraId="40F321DE" w14:textId="77777777" w:rsidR="007903B0" w:rsidRPr="00B253A0" w:rsidRDefault="007903B0" w:rsidP="007903B0">
            <w:pPr>
              <w:rPr>
                <w:sz w:val="20"/>
                <w:szCs w:val="20"/>
              </w:rPr>
            </w:pPr>
            <w:r w:rsidRPr="00B253A0">
              <w:rPr>
                <w:sz w:val="20"/>
                <w:szCs w:val="20"/>
              </w:rPr>
              <w:t xml:space="preserve">Population:  36,000 </w:t>
            </w:r>
          </w:p>
          <w:p w14:paraId="4A671A11" w14:textId="77777777" w:rsidR="007903B0" w:rsidRPr="00B253A0" w:rsidRDefault="007903B0" w:rsidP="007903B0">
            <w:pPr>
              <w:rPr>
                <w:sz w:val="20"/>
                <w:szCs w:val="20"/>
              </w:rPr>
            </w:pPr>
            <w:r w:rsidRPr="00B253A0">
              <w:rPr>
                <w:sz w:val="20"/>
                <w:szCs w:val="20"/>
              </w:rPr>
              <w:t>Households: 4716</w:t>
            </w:r>
          </w:p>
        </w:tc>
      </w:tr>
      <w:tr w:rsidR="007903B0" w:rsidRPr="00B253A0" w14:paraId="3F691405" w14:textId="77777777" w:rsidTr="007903B0">
        <w:tc>
          <w:tcPr>
            <w:tcW w:w="3080" w:type="dxa"/>
            <w:vMerge w:val="restart"/>
          </w:tcPr>
          <w:p w14:paraId="25D55B50" w14:textId="77777777" w:rsidR="007903B0" w:rsidRPr="00B253A0" w:rsidRDefault="007903B0" w:rsidP="007903B0">
            <w:pPr>
              <w:rPr>
                <w:b/>
                <w:sz w:val="20"/>
                <w:szCs w:val="20"/>
              </w:rPr>
            </w:pPr>
            <w:r w:rsidRPr="00B253A0">
              <w:rPr>
                <w:b/>
                <w:sz w:val="20"/>
                <w:szCs w:val="20"/>
              </w:rPr>
              <w:t>Location:</w:t>
            </w:r>
          </w:p>
          <w:p w14:paraId="051CC28A" w14:textId="77777777" w:rsidR="007903B0" w:rsidRPr="00B253A0" w:rsidRDefault="007903B0" w:rsidP="007903B0">
            <w:pPr>
              <w:rPr>
                <w:b/>
                <w:sz w:val="20"/>
                <w:szCs w:val="20"/>
              </w:rPr>
            </w:pPr>
          </w:p>
          <w:p w14:paraId="3B5FDDA2" w14:textId="0803EFA4" w:rsidR="007903B0" w:rsidRPr="00B253A0" w:rsidRDefault="007903B0" w:rsidP="00CF56A5">
            <w:pPr>
              <w:rPr>
                <w:sz w:val="20"/>
                <w:szCs w:val="20"/>
              </w:rPr>
            </w:pPr>
            <w:proofErr w:type="spellStart"/>
            <w:r w:rsidRPr="00B253A0">
              <w:rPr>
                <w:sz w:val="20"/>
                <w:szCs w:val="20"/>
              </w:rPr>
              <w:t>Vingunguti</w:t>
            </w:r>
            <w:proofErr w:type="spellEnd"/>
            <w:r w:rsidRPr="00B253A0">
              <w:rPr>
                <w:sz w:val="20"/>
                <w:szCs w:val="20"/>
              </w:rPr>
              <w:t xml:space="preserve"> ward, </w:t>
            </w:r>
            <w:proofErr w:type="spellStart"/>
            <w:r w:rsidR="00CF56A5" w:rsidRPr="00B253A0">
              <w:rPr>
                <w:sz w:val="20"/>
                <w:szCs w:val="20"/>
              </w:rPr>
              <w:t>I</w:t>
            </w:r>
            <w:r w:rsidRPr="00B253A0">
              <w:rPr>
                <w:sz w:val="20"/>
                <w:szCs w:val="20"/>
              </w:rPr>
              <w:t>lala</w:t>
            </w:r>
            <w:proofErr w:type="spellEnd"/>
            <w:r w:rsidRPr="00B253A0">
              <w:rPr>
                <w:sz w:val="20"/>
                <w:szCs w:val="20"/>
              </w:rPr>
              <w:t xml:space="preserve"> Municipality</w:t>
            </w:r>
          </w:p>
        </w:tc>
        <w:tc>
          <w:tcPr>
            <w:tcW w:w="3081" w:type="dxa"/>
          </w:tcPr>
          <w:p w14:paraId="67C65DDA" w14:textId="77777777" w:rsidR="007903B0" w:rsidRPr="00B253A0" w:rsidRDefault="007903B0" w:rsidP="007903B0">
            <w:pPr>
              <w:rPr>
                <w:b/>
                <w:i/>
                <w:sz w:val="20"/>
                <w:szCs w:val="20"/>
              </w:rPr>
            </w:pPr>
            <w:r w:rsidRPr="00B253A0">
              <w:rPr>
                <w:b/>
                <w:i/>
                <w:sz w:val="20"/>
                <w:szCs w:val="20"/>
              </w:rPr>
              <w:t>In relation to the CBD and the University</w:t>
            </w:r>
          </w:p>
          <w:p w14:paraId="400B5168" w14:textId="77777777" w:rsidR="007903B0" w:rsidRPr="00B253A0" w:rsidRDefault="007903B0" w:rsidP="007903B0">
            <w:pPr>
              <w:rPr>
                <w:b/>
                <w:i/>
                <w:sz w:val="20"/>
                <w:szCs w:val="20"/>
              </w:rPr>
            </w:pPr>
          </w:p>
        </w:tc>
        <w:tc>
          <w:tcPr>
            <w:tcW w:w="3081" w:type="dxa"/>
          </w:tcPr>
          <w:p w14:paraId="0D3EDB20" w14:textId="77777777" w:rsidR="007903B0" w:rsidRPr="00B253A0" w:rsidRDefault="007903B0" w:rsidP="007903B0">
            <w:pPr>
              <w:rPr>
                <w:b/>
                <w:i/>
                <w:sz w:val="20"/>
                <w:szCs w:val="20"/>
              </w:rPr>
            </w:pPr>
            <w:r w:rsidRPr="00B253A0">
              <w:rPr>
                <w:b/>
                <w:i/>
                <w:sz w:val="20"/>
                <w:szCs w:val="20"/>
              </w:rPr>
              <w:t xml:space="preserve">Coordinates (a </w:t>
            </w:r>
            <w:proofErr w:type="spellStart"/>
            <w:r w:rsidRPr="00B253A0">
              <w:rPr>
                <w:b/>
                <w:i/>
                <w:sz w:val="20"/>
                <w:szCs w:val="20"/>
              </w:rPr>
              <w:t>Kmz</w:t>
            </w:r>
            <w:proofErr w:type="spellEnd"/>
            <w:r w:rsidRPr="00B253A0">
              <w:rPr>
                <w:b/>
                <w:i/>
                <w:sz w:val="20"/>
                <w:szCs w:val="20"/>
              </w:rPr>
              <w:t xml:space="preserve"> file can be attached or a google earth image)</w:t>
            </w:r>
          </w:p>
        </w:tc>
      </w:tr>
      <w:tr w:rsidR="007903B0" w:rsidRPr="00B253A0" w14:paraId="3F33C0B0" w14:textId="77777777" w:rsidTr="007903B0">
        <w:tc>
          <w:tcPr>
            <w:tcW w:w="3080" w:type="dxa"/>
            <w:vMerge/>
          </w:tcPr>
          <w:p w14:paraId="3D31E2E7" w14:textId="77777777" w:rsidR="007903B0" w:rsidRPr="00B253A0" w:rsidRDefault="007903B0" w:rsidP="007903B0">
            <w:pPr>
              <w:rPr>
                <w:b/>
                <w:sz w:val="20"/>
                <w:szCs w:val="20"/>
              </w:rPr>
            </w:pPr>
          </w:p>
        </w:tc>
        <w:tc>
          <w:tcPr>
            <w:tcW w:w="3081" w:type="dxa"/>
          </w:tcPr>
          <w:p w14:paraId="3DDA7EA7" w14:textId="77777777" w:rsidR="007903B0" w:rsidRPr="00B253A0" w:rsidRDefault="007903B0" w:rsidP="007903B0">
            <w:pPr>
              <w:numPr>
                <w:ilvl w:val="0"/>
                <w:numId w:val="19"/>
              </w:numPr>
              <w:rPr>
                <w:sz w:val="20"/>
                <w:szCs w:val="20"/>
              </w:rPr>
            </w:pPr>
            <w:r w:rsidRPr="00B253A0">
              <w:rPr>
                <w:sz w:val="20"/>
                <w:szCs w:val="20"/>
              </w:rPr>
              <w:t>6 km to city centre</w:t>
            </w:r>
          </w:p>
          <w:p w14:paraId="02399221" w14:textId="77777777" w:rsidR="007903B0" w:rsidRPr="00B253A0" w:rsidRDefault="007903B0" w:rsidP="007903B0">
            <w:pPr>
              <w:numPr>
                <w:ilvl w:val="0"/>
                <w:numId w:val="19"/>
              </w:numPr>
              <w:rPr>
                <w:sz w:val="20"/>
                <w:szCs w:val="20"/>
              </w:rPr>
            </w:pPr>
            <w:r w:rsidRPr="00B253A0">
              <w:rPr>
                <w:sz w:val="20"/>
                <w:szCs w:val="20"/>
              </w:rPr>
              <w:t xml:space="preserve">15 km to </w:t>
            </w:r>
            <w:proofErr w:type="spellStart"/>
            <w:r w:rsidRPr="00B253A0">
              <w:rPr>
                <w:sz w:val="20"/>
                <w:szCs w:val="20"/>
              </w:rPr>
              <w:t>Ardhi</w:t>
            </w:r>
            <w:proofErr w:type="spellEnd"/>
            <w:r w:rsidRPr="00B253A0">
              <w:rPr>
                <w:sz w:val="20"/>
                <w:szCs w:val="20"/>
              </w:rPr>
              <w:t xml:space="preserve"> University</w:t>
            </w:r>
          </w:p>
        </w:tc>
        <w:tc>
          <w:tcPr>
            <w:tcW w:w="3081" w:type="dxa"/>
          </w:tcPr>
          <w:p w14:paraId="75A7BE12" w14:textId="77777777" w:rsidR="007903B0" w:rsidRPr="00B253A0" w:rsidRDefault="007903B0" w:rsidP="007903B0">
            <w:pPr>
              <w:rPr>
                <w:sz w:val="20"/>
                <w:szCs w:val="20"/>
              </w:rPr>
            </w:pPr>
          </w:p>
        </w:tc>
      </w:tr>
      <w:tr w:rsidR="007903B0" w:rsidRPr="00B253A0" w14:paraId="4328793D" w14:textId="77777777" w:rsidTr="007903B0">
        <w:tc>
          <w:tcPr>
            <w:tcW w:w="3080" w:type="dxa"/>
          </w:tcPr>
          <w:p w14:paraId="3F73EBFD" w14:textId="77777777" w:rsidR="007903B0" w:rsidRPr="00B253A0" w:rsidRDefault="007903B0" w:rsidP="007903B0">
            <w:pPr>
              <w:rPr>
                <w:b/>
                <w:sz w:val="20"/>
                <w:szCs w:val="20"/>
              </w:rPr>
            </w:pPr>
            <w:r w:rsidRPr="00B253A0">
              <w:rPr>
                <w:b/>
                <w:sz w:val="20"/>
                <w:szCs w:val="20"/>
              </w:rPr>
              <w:t xml:space="preserve">Brief Description of the Settlement (history, topography, socio-economic, </w:t>
            </w:r>
            <w:proofErr w:type="spellStart"/>
            <w:r w:rsidRPr="00B253A0">
              <w:rPr>
                <w:b/>
                <w:sz w:val="20"/>
                <w:szCs w:val="20"/>
              </w:rPr>
              <w:t>e.t.c</w:t>
            </w:r>
            <w:proofErr w:type="spellEnd"/>
            <w:r w:rsidRPr="00B253A0">
              <w:rPr>
                <w:b/>
                <w:sz w:val="20"/>
                <w:szCs w:val="20"/>
              </w:rPr>
              <w:t>)</w:t>
            </w:r>
          </w:p>
        </w:tc>
        <w:tc>
          <w:tcPr>
            <w:tcW w:w="6162" w:type="dxa"/>
            <w:gridSpan w:val="2"/>
          </w:tcPr>
          <w:p w14:paraId="5D3130C2" w14:textId="0AB192E5" w:rsidR="007903B0" w:rsidRPr="00B253A0" w:rsidRDefault="007903B0" w:rsidP="007903B0">
            <w:pPr>
              <w:rPr>
                <w:sz w:val="20"/>
                <w:szCs w:val="20"/>
              </w:rPr>
            </w:pPr>
            <w:proofErr w:type="spellStart"/>
            <w:r w:rsidRPr="00B253A0">
              <w:rPr>
                <w:sz w:val="20"/>
                <w:szCs w:val="20"/>
              </w:rPr>
              <w:t>Kombo</w:t>
            </w:r>
            <w:proofErr w:type="spellEnd"/>
            <w:r w:rsidRPr="00B253A0">
              <w:rPr>
                <w:sz w:val="20"/>
                <w:szCs w:val="20"/>
              </w:rPr>
              <w:t xml:space="preserve"> settlement is located in </w:t>
            </w:r>
            <w:proofErr w:type="spellStart"/>
            <w:r w:rsidRPr="00B253A0">
              <w:rPr>
                <w:sz w:val="20"/>
                <w:szCs w:val="20"/>
              </w:rPr>
              <w:t>Vingunguti</w:t>
            </w:r>
            <w:proofErr w:type="spellEnd"/>
            <w:r w:rsidRPr="00B253A0">
              <w:rPr>
                <w:sz w:val="20"/>
                <w:szCs w:val="20"/>
              </w:rPr>
              <w:t xml:space="preserve"> ward and has existed since early 1960s. Early residents were famers who came from </w:t>
            </w:r>
            <w:proofErr w:type="spellStart"/>
            <w:r w:rsidRPr="00B253A0">
              <w:rPr>
                <w:sz w:val="20"/>
                <w:szCs w:val="20"/>
              </w:rPr>
              <w:t>Ilala</w:t>
            </w:r>
            <w:proofErr w:type="spellEnd"/>
            <w:r w:rsidRPr="00B253A0">
              <w:rPr>
                <w:sz w:val="20"/>
                <w:szCs w:val="20"/>
              </w:rPr>
              <w:t xml:space="preserve"> and </w:t>
            </w:r>
            <w:proofErr w:type="spellStart"/>
            <w:r w:rsidRPr="00B253A0">
              <w:rPr>
                <w:sz w:val="20"/>
                <w:szCs w:val="20"/>
              </w:rPr>
              <w:t>Makuburi</w:t>
            </w:r>
            <w:proofErr w:type="spellEnd"/>
            <w:r w:rsidRPr="00B253A0">
              <w:rPr>
                <w:sz w:val="20"/>
                <w:szCs w:val="20"/>
              </w:rPr>
              <w:t xml:space="preserve"> areas. Larger part of the settlement is on the upper side and remaining area is in the lower side where there are also Waste Oxidation ponds owned by Dar </w:t>
            </w:r>
            <w:proofErr w:type="spellStart"/>
            <w:r w:rsidRPr="00B253A0">
              <w:rPr>
                <w:sz w:val="20"/>
                <w:szCs w:val="20"/>
              </w:rPr>
              <w:t>es</w:t>
            </w:r>
            <w:proofErr w:type="spellEnd"/>
            <w:r w:rsidRPr="00B253A0">
              <w:rPr>
                <w:sz w:val="20"/>
                <w:szCs w:val="20"/>
              </w:rPr>
              <w:t xml:space="preserve"> Salaam Water and Sewerage Authority (DAWASA). The settlement was named after an old well existed in the settlement which was called </w:t>
            </w:r>
            <w:proofErr w:type="spellStart"/>
            <w:r w:rsidRPr="00B253A0">
              <w:rPr>
                <w:sz w:val="20"/>
                <w:szCs w:val="20"/>
              </w:rPr>
              <w:t>Kombo</w:t>
            </w:r>
            <w:proofErr w:type="spellEnd"/>
            <w:r w:rsidRPr="00B253A0">
              <w:rPr>
                <w:sz w:val="20"/>
                <w:szCs w:val="20"/>
              </w:rPr>
              <w:t xml:space="preserve"> Gradually residents shortened it and called the settlement </w:t>
            </w:r>
            <w:proofErr w:type="spellStart"/>
            <w:r w:rsidRPr="00B253A0">
              <w:rPr>
                <w:sz w:val="20"/>
                <w:szCs w:val="20"/>
              </w:rPr>
              <w:t>Kombo</w:t>
            </w:r>
            <w:proofErr w:type="spellEnd"/>
            <w:r w:rsidRPr="00B253A0">
              <w:rPr>
                <w:sz w:val="20"/>
                <w:szCs w:val="20"/>
              </w:rPr>
              <w:t>. Majority of residents have low incomes and are engaged in petty trading, they are selling food stuffs, fruit and vegetable groceries, hair plaiting (women), market traders, labourers in nearby industries and few have permanent employment by government, private sector and industries.  Land is owned by government and t</w:t>
            </w:r>
            <w:r w:rsidR="00555FBB">
              <w:rPr>
                <w:sz w:val="20"/>
                <w:szCs w:val="20"/>
              </w:rPr>
              <w:t>he upper side has been regulariz</w:t>
            </w:r>
            <w:r w:rsidRPr="00B253A0">
              <w:rPr>
                <w:sz w:val="20"/>
                <w:szCs w:val="20"/>
              </w:rPr>
              <w:t>ed and has residential licences and many of those located in the lower side hav</w:t>
            </w:r>
            <w:r w:rsidR="00555FBB">
              <w:rPr>
                <w:sz w:val="20"/>
                <w:szCs w:val="20"/>
              </w:rPr>
              <w:t>e not been regulariz</w:t>
            </w:r>
            <w:r w:rsidRPr="00B253A0">
              <w:rPr>
                <w:sz w:val="20"/>
                <w:szCs w:val="20"/>
              </w:rPr>
              <w:t>ed and their houses are informal. Part of the settlement has been affected by flooding.</w:t>
            </w:r>
          </w:p>
        </w:tc>
      </w:tr>
      <w:tr w:rsidR="007903B0" w:rsidRPr="00B253A0" w14:paraId="7A911742" w14:textId="77777777" w:rsidTr="007903B0">
        <w:tc>
          <w:tcPr>
            <w:tcW w:w="3080" w:type="dxa"/>
          </w:tcPr>
          <w:p w14:paraId="02BFEF2F" w14:textId="77777777" w:rsidR="007903B0" w:rsidRPr="00B253A0" w:rsidRDefault="007903B0" w:rsidP="007903B0">
            <w:pPr>
              <w:rPr>
                <w:b/>
                <w:sz w:val="20"/>
                <w:szCs w:val="20"/>
              </w:rPr>
            </w:pPr>
            <w:r w:rsidRPr="00B253A0">
              <w:rPr>
                <w:b/>
                <w:sz w:val="20"/>
                <w:szCs w:val="20"/>
              </w:rPr>
              <w:t>Brief Description on its Accessibility</w:t>
            </w:r>
          </w:p>
        </w:tc>
        <w:tc>
          <w:tcPr>
            <w:tcW w:w="6162" w:type="dxa"/>
            <w:gridSpan w:val="2"/>
          </w:tcPr>
          <w:p w14:paraId="18477F45" w14:textId="77777777" w:rsidR="007903B0" w:rsidRPr="00B253A0" w:rsidRDefault="007903B0" w:rsidP="007903B0">
            <w:pPr>
              <w:rPr>
                <w:sz w:val="20"/>
                <w:szCs w:val="20"/>
              </w:rPr>
            </w:pPr>
            <w:r w:rsidRPr="00B253A0">
              <w:rPr>
                <w:sz w:val="20"/>
                <w:szCs w:val="20"/>
              </w:rPr>
              <w:t xml:space="preserve">There few access roads in the area which have been upgraded but larger part of the area have no road access. </w:t>
            </w:r>
          </w:p>
          <w:p w14:paraId="09EA3F75" w14:textId="77777777" w:rsidR="007903B0" w:rsidRPr="00B253A0" w:rsidRDefault="007903B0" w:rsidP="007903B0">
            <w:pPr>
              <w:rPr>
                <w:sz w:val="20"/>
                <w:szCs w:val="20"/>
              </w:rPr>
            </w:pPr>
          </w:p>
        </w:tc>
      </w:tr>
      <w:tr w:rsidR="007903B0" w:rsidRPr="00B253A0" w14:paraId="1466897E" w14:textId="77777777" w:rsidTr="007903B0">
        <w:tc>
          <w:tcPr>
            <w:tcW w:w="3080" w:type="dxa"/>
          </w:tcPr>
          <w:p w14:paraId="2B36422D" w14:textId="77777777" w:rsidR="007903B0" w:rsidRPr="00B253A0" w:rsidRDefault="007903B0" w:rsidP="007903B0">
            <w:pPr>
              <w:rPr>
                <w:b/>
                <w:sz w:val="20"/>
                <w:szCs w:val="20"/>
              </w:rPr>
            </w:pPr>
            <w:r w:rsidRPr="00B253A0">
              <w:rPr>
                <w:b/>
                <w:sz w:val="20"/>
                <w:szCs w:val="20"/>
              </w:rPr>
              <w:t>Brief Description of the Community Leadership structure and mobilization</w:t>
            </w:r>
            <w:r w:rsidRPr="00B253A0">
              <w:rPr>
                <w:b/>
                <w:sz w:val="20"/>
                <w:szCs w:val="20"/>
              </w:rPr>
              <w:br/>
              <w:t>(federation, other leadership structures)</w:t>
            </w:r>
          </w:p>
        </w:tc>
        <w:tc>
          <w:tcPr>
            <w:tcW w:w="6162" w:type="dxa"/>
            <w:gridSpan w:val="2"/>
          </w:tcPr>
          <w:p w14:paraId="5B959449" w14:textId="41E973F8" w:rsidR="007903B0" w:rsidRPr="00B253A0" w:rsidRDefault="00933D11" w:rsidP="007903B0">
            <w:pPr>
              <w:rPr>
                <w:sz w:val="20"/>
                <w:szCs w:val="20"/>
              </w:rPr>
            </w:pPr>
            <w:r>
              <w:rPr>
                <w:sz w:val="20"/>
                <w:szCs w:val="20"/>
              </w:rPr>
              <w:t>Two f</w:t>
            </w:r>
            <w:r w:rsidR="007903B0" w:rsidRPr="00B253A0">
              <w:rPr>
                <w:sz w:val="20"/>
                <w:szCs w:val="20"/>
              </w:rPr>
              <w:t xml:space="preserve">ederation groups exist in this settlement. Both groups have leadership involving chairperson, secretary, treasurer, </w:t>
            </w:r>
            <w:proofErr w:type="spellStart"/>
            <w:r w:rsidR="007903B0" w:rsidRPr="00B253A0">
              <w:rPr>
                <w:sz w:val="20"/>
                <w:szCs w:val="20"/>
              </w:rPr>
              <w:t>Jenga</w:t>
            </w:r>
            <w:proofErr w:type="spellEnd"/>
            <w:r w:rsidR="007903B0" w:rsidRPr="00B253A0">
              <w:rPr>
                <w:sz w:val="20"/>
                <w:szCs w:val="20"/>
              </w:rPr>
              <w:t xml:space="preserve"> treasurer and five federat</w:t>
            </w:r>
            <w:r w:rsidR="00555FBB">
              <w:rPr>
                <w:sz w:val="20"/>
                <w:szCs w:val="20"/>
              </w:rPr>
              <w:t>ion committees which are mobiliz</w:t>
            </w:r>
            <w:r w:rsidR="007903B0" w:rsidRPr="00B253A0">
              <w:rPr>
                <w:sz w:val="20"/>
                <w:szCs w:val="20"/>
              </w:rPr>
              <w:t xml:space="preserve">ation, savings and auditing, project design and management, enumeration and advocacy and loan committees. </w:t>
            </w:r>
          </w:p>
        </w:tc>
      </w:tr>
      <w:tr w:rsidR="007903B0" w:rsidRPr="00B253A0" w14:paraId="75FEDCD2" w14:textId="77777777" w:rsidTr="007903B0">
        <w:tc>
          <w:tcPr>
            <w:tcW w:w="3080" w:type="dxa"/>
          </w:tcPr>
          <w:p w14:paraId="3CB55980" w14:textId="77777777" w:rsidR="007903B0" w:rsidRPr="00B253A0" w:rsidRDefault="007903B0" w:rsidP="007903B0">
            <w:pPr>
              <w:rPr>
                <w:b/>
                <w:sz w:val="20"/>
                <w:szCs w:val="20"/>
              </w:rPr>
            </w:pPr>
            <w:r w:rsidRPr="00B253A0">
              <w:rPr>
                <w:b/>
                <w:sz w:val="20"/>
                <w:szCs w:val="20"/>
              </w:rPr>
              <w:t>Feedback from the Engagements with the community about the studio</w:t>
            </w:r>
          </w:p>
        </w:tc>
        <w:tc>
          <w:tcPr>
            <w:tcW w:w="6162" w:type="dxa"/>
            <w:gridSpan w:val="2"/>
          </w:tcPr>
          <w:p w14:paraId="14375C38" w14:textId="77777777" w:rsidR="007903B0" w:rsidRPr="00B253A0" w:rsidRDefault="007903B0" w:rsidP="007903B0">
            <w:pPr>
              <w:rPr>
                <w:sz w:val="20"/>
                <w:szCs w:val="20"/>
              </w:rPr>
            </w:pPr>
            <w:r w:rsidRPr="00B253A0">
              <w:rPr>
                <w:sz w:val="20"/>
                <w:szCs w:val="20"/>
              </w:rPr>
              <w:t>The leadership of the Federation has been informed about the studio work and look forward for it.</w:t>
            </w:r>
          </w:p>
          <w:p w14:paraId="2AD98638" w14:textId="77777777" w:rsidR="007903B0" w:rsidRPr="00B253A0" w:rsidRDefault="007903B0" w:rsidP="007903B0">
            <w:pPr>
              <w:rPr>
                <w:sz w:val="20"/>
                <w:szCs w:val="20"/>
              </w:rPr>
            </w:pPr>
          </w:p>
        </w:tc>
      </w:tr>
      <w:tr w:rsidR="007903B0" w:rsidRPr="00B253A0" w14:paraId="075036D3" w14:textId="77777777" w:rsidTr="007903B0">
        <w:tc>
          <w:tcPr>
            <w:tcW w:w="3080" w:type="dxa"/>
          </w:tcPr>
          <w:p w14:paraId="4D6A5342" w14:textId="77777777" w:rsidR="007903B0" w:rsidRPr="00B253A0" w:rsidRDefault="007903B0" w:rsidP="007903B0">
            <w:pPr>
              <w:rPr>
                <w:b/>
                <w:sz w:val="20"/>
                <w:szCs w:val="20"/>
              </w:rPr>
            </w:pPr>
            <w:r w:rsidRPr="00B253A0">
              <w:rPr>
                <w:b/>
                <w:sz w:val="20"/>
                <w:szCs w:val="20"/>
              </w:rPr>
              <w:t>Previous planning/upgrading efforts in the settlement</w:t>
            </w:r>
          </w:p>
        </w:tc>
        <w:tc>
          <w:tcPr>
            <w:tcW w:w="6162" w:type="dxa"/>
            <w:gridSpan w:val="2"/>
          </w:tcPr>
          <w:p w14:paraId="0308E545" w14:textId="6B3124F9" w:rsidR="007903B0" w:rsidRPr="00B253A0" w:rsidRDefault="007903B0" w:rsidP="007903B0">
            <w:pPr>
              <w:rPr>
                <w:sz w:val="20"/>
                <w:szCs w:val="20"/>
              </w:rPr>
            </w:pPr>
            <w:r w:rsidRPr="00B253A0">
              <w:rPr>
                <w:sz w:val="20"/>
                <w:szCs w:val="20"/>
              </w:rPr>
              <w:t xml:space="preserve">Upgrading of infrastructure including road, drainage, </w:t>
            </w:r>
            <w:r w:rsidR="00933D11" w:rsidRPr="00B253A0">
              <w:rPr>
                <w:sz w:val="20"/>
                <w:szCs w:val="20"/>
              </w:rPr>
              <w:t>streetlights</w:t>
            </w:r>
            <w:r w:rsidRPr="00B253A0">
              <w:rPr>
                <w:sz w:val="20"/>
                <w:szCs w:val="20"/>
              </w:rPr>
              <w:t xml:space="preserve"> and community toilet has been done to some parts of the settlement by </w:t>
            </w:r>
            <w:proofErr w:type="spellStart"/>
            <w:r w:rsidRPr="00B253A0">
              <w:rPr>
                <w:sz w:val="20"/>
                <w:szCs w:val="20"/>
              </w:rPr>
              <w:t>Ilala</w:t>
            </w:r>
            <w:proofErr w:type="spellEnd"/>
            <w:r w:rsidRPr="00B253A0">
              <w:rPr>
                <w:sz w:val="20"/>
                <w:szCs w:val="20"/>
              </w:rPr>
              <w:t xml:space="preserve"> Municipal Council under its Community Infrastructure Upgrading Program (CIUP). </w:t>
            </w:r>
            <w:proofErr w:type="spellStart"/>
            <w:r w:rsidRPr="00B253A0">
              <w:rPr>
                <w:sz w:val="20"/>
                <w:szCs w:val="20"/>
              </w:rPr>
              <w:t>Ilala</w:t>
            </w:r>
            <w:proofErr w:type="spellEnd"/>
            <w:r w:rsidRPr="00B253A0">
              <w:rPr>
                <w:sz w:val="20"/>
                <w:szCs w:val="20"/>
              </w:rPr>
              <w:t xml:space="preserve"> Municipal Council and Plan Internal have implemented community wate</w:t>
            </w:r>
            <w:r w:rsidR="00CF56A5" w:rsidRPr="00B253A0">
              <w:rPr>
                <w:sz w:val="20"/>
                <w:szCs w:val="20"/>
              </w:rPr>
              <w:t xml:space="preserve">r projects which reach some parts of the settlement. </w:t>
            </w:r>
            <w:r w:rsidRPr="00B253A0">
              <w:rPr>
                <w:sz w:val="20"/>
                <w:szCs w:val="20"/>
              </w:rPr>
              <w:t>Plan International has also supported construction of classrooms at school and provision of school equipment including desks for pupils as well as supporting children living in vulnerable environment an providing education regarding children’s rights (at school).</w:t>
            </w:r>
          </w:p>
        </w:tc>
      </w:tr>
      <w:tr w:rsidR="007903B0" w:rsidRPr="00B253A0" w14:paraId="2EBD6327" w14:textId="77777777" w:rsidTr="007903B0">
        <w:tc>
          <w:tcPr>
            <w:tcW w:w="3080" w:type="dxa"/>
          </w:tcPr>
          <w:p w14:paraId="5029F3E4" w14:textId="04F3A207" w:rsidR="007903B0" w:rsidRPr="00B253A0" w:rsidRDefault="00CF56A5" w:rsidP="007903B0">
            <w:pPr>
              <w:rPr>
                <w:b/>
                <w:sz w:val="20"/>
                <w:szCs w:val="20"/>
              </w:rPr>
            </w:pPr>
            <w:r w:rsidRPr="00B253A0">
              <w:rPr>
                <w:b/>
                <w:sz w:val="20"/>
                <w:szCs w:val="20"/>
              </w:rPr>
              <w:t>Overview of Current challenges f</w:t>
            </w:r>
            <w:r w:rsidR="007903B0" w:rsidRPr="00B253A0">
              <w:rPr>
                <w:b/>
                <w:sz w:val="20"/>
                <w:szCs w:val="20"/>
              </w:rPr>
              <w:t xml:space="preserve">acing the </w:t>
            </w:r>
            <w:r w:rsidR="007903B0" w:rsidRPr="00B253A0">
              <w:rPr>
                <w:b/>
                <w:sz w:val="20"/>
                <w:szCs w:val="20"/>
              </w:rPr>
              <w:lastRenderedPageBreak/>
              <w:t>settlement</w:t>
            </w:r>
          </w:p>
        </w:tc>
        <w:tc>
          <w:tcPr>
            <w:tcW w:w="6162" w:type="dxa"/>
            <w:gridSpan w:val="2"/>
          </w:tcPr>
          <w:p w14:paraId="747E5CDC" w14:textId="119B8917" w:rsidR="007903B0" w:rsidRPr="00B253A0" w:rsidRDefault="007903B0" w:rsidP="00CF56A5">
            <w:pPr>
              <w:rPr>
                <w:sz w:val="20"/>
                <w:szCs w:val="20"/>
              </w:rPr>
            </w:pPr>
            <w:r w:rsidRPr="00B253A0">
              <w:rPr>
                <w:sz w:val="20"/>
                <w:szCs w:val="20"/>
              </w:rPr>
              <w:lastRenderedPageBreak/>
              <w:t xml:space="preserve">Poor solid waste management system, lack of proper drainage system (especially in the lower side of the settlement), </w:t>
            </w:r>
            <w:r w:rsidRPr="00B253A0">
              <w:rPr>
                <w:sz w:val="20"/>
                <w:szCs w:val="20"/>
              </w:rPr>
              <w:lastRenderedPageBreak/>
              <w:t>existence of brothels, high</w:t>
            </w:r>
            <w:r w:rsidR="00CF56A5" w:rsidRPr="00B253A0">
              <w:rPr>
                <w:sz w:val="20"/>
                <w:szCs w:val="20"/>
              </w:rPr>
              <w:t xml:space="preserve"> level of crime, poor latrine, </w:t>
            </w:r>
            <w:r w:rsidRPr="00B253A0">
              <w:rPr>
                <w:sz w:val="20"/>
                <w:szCs w:val="20"/>
              </w:rPr>
              <w:t xml:space="preserve">limited water services and flooding. </w:t>
            </w:r>
          </w:p>
        </w:tc>
      </w:tr>
      <w:tr w:rsidR="007903B0" w:rsidRPr="00B253A0" w14:paraId="46096F95" w14:textId="77777777" w:rsidTr="007903B0">
        <w:tc>
          <w:tcPr>
            <w:tcW w:w="3080" w:type="dxa"/>
          </w:tcPr>
          <w:p w14:paraId="32919321" w14:textId="77777777" w:rsidR="007903B0" w:rsidRPr="00B253A0" w:rsidRDefault="007903B0" w:rsidP="007903B0">
            <w:pPr>
              <w:rPr>
                <w:b/>
                <w:sz w:val="20"/>
                <w:szCs w:val="20"/>
              </w:rPr>
            </w:pPr>
            <w:r w:rsidRPr="00B253A0">
              <w:rPr>
                <w:b/>
                <w:sz w:val="20"/>
                <w:szCs w:val="20"/>
              </w:rPr>
              <w:lastRenderedPageBreak/>
              <w:t>Community priorities (probably this forms the focus of the studio)</w:t>
            </w:r>
          </w:p>
        </w:tc>
        <w:tc>
          <w:tcPr>
            <w:tcW w:w="6162" w:type="dxa"/>
            <w:gridSpan w:val="2"/>
          </w:tcPr>
          <w:p w14:paraId="15C6292A" w14:textId="77777777" w:rsidR="007903B0" w:rsidRPr="00B253A0" w:rsidRDefault="007903B0" w:rsidP="007903B0">
            <w:pPr>
              <w:numPr>
                <w:ilvl w:val="0"/>
                <w:numId w:val="18"/>
              </w:numPr>
              <w:rPr>
                <w:sz w:val="20"/>
                <w:szCs w:val="20"/>
              </w:rPr>
            </w:pPr>
            <w:r w:rsidRPr="00B253A0">
              <w:rPr>
                <w:sz w:val="20"/>
                <w:szCs w:val="20"/>
              </w:rPr>
              <w:t xml:space="preserve">Drainage system </w:t>
            </w:r>
          </w:p>
          <w:p w14:paraId="6E25F15E" w14:textId="77777777" w:rsidR="007903B0" w:rsidRPr="00B253A0" w:rsidRDefault="007903B0" w:rsidP="007903B0">
            <w:pPr>
              <w:numPr>
                <w:ilvl w:val="0"/>
                <w:numId w:val="18"/>
              </w:numPr>
              <w:rPr>
                <w:sz w:val="20"/>
                <w:szCs w:val="20"/>
              </w:rPr>
            </w:pPr>
            <w:r w:rsidRPr="00B253A0">
              <w:rPr>
                <w:sz w:val="20"/>
                <w:szCs w:val="20"/>
              </w:rPr>
              <w:t>Water</w:t>
            </w:r>
          </w:p>
          <w:p w14:paraId="40A99D6F" w14:textId="77777777" w:rsidR="007903B0" w:rsidRPr="00B253A0" w:rsidRDefault="007903B0" w:rsidP="007903B0">
            <w:pPr>
              <w:numPr>
                <w:ilvl w:val="0"/>
                <w:numId w:val="18"/>
              </w:numPr>
              <w:rPr>
                <w:sz w:val="20"/>
                <w:szCs w:val="20"/>
              </w:rPr>
            </w:pPr>
            <w:r w:rsidRPr="00B253A0">
              <w:rPr>
                <w:sz w:val="20"/>
                <w:szCs w:val="20"/>
              </w:rPr>
              <w:t>Garbage collection</w:t>
            </w:r>
          </w:p>
        </w:tc>
      </w:tr>
      <w:tr w:rsidR="007903B0" w:rsidRPr="00B253A0" w14:paraId="28296B1A" w14:textId="77777777" w:rsidTr="007903B0">
        <w:tc>
          <w:tcPr>
            <w:tcW w:w="3080" w:type="dxa"/>
          </w:tcPr>
          <w:p w14:paraId="730A932C" w14:textId="6BB9C8BA" w:rsidR="007903B0" w:rsidRPr="00B253A0" w:rsidRDefault="007903B0" w:rsidP="00CF56A5">
            <w:pPr>
              <w:rPr>
                <w:b/>
                <w:sz w:val="20"/>
                <w:szCs w:val="20"/>
              </w:rPr>
            </w:pPr>
            <w:r w:rsidRPr="00B253A0">
              <w:rPr>
                <w:b/>
                <w:sz w:val="20"/>
                <w:szCs w:val="20"/>
              </w:rPr>
              <w:t xml:space="preserve">Information available </w:t>
            </w:r>
            <w:r w:rsidRPr="00B253A0">
              <w:rPr>
                <w:b/>
                <w:sz w:val="20"/>
                <w:szCs w:val="20"/>
              </w:rPr>
              <w:br/>
              <w:t>Base maps, surveys, enumeration profiles</w:t>
            </w:r>
            <w:r w:rsidR="00CF56A5" w:rsidRPr="00B253A0">
              <w:rPr>
                <w:b/>
                <w:sz w:val="20"/>
                <w:szCs w:val="20"/>
              </w:rPr>
              <w:t>, etc.</w:t>
            </w:r>
          </w:p>
        </w:tc>
        <w:tc>
          <w:tcPr>
            <w:tcW w:w="6162" w:type="dxa"/>
            <w:gridSpan w:val="2"/>
          </w:tcPr>
          <w:p w14:paraId="77BCFC56" w14:textId="77777777" w:rsidR="007903B0" w:rsidRPr="00B253A0" w:rsidRDefault="007903B0" w:rsidP="007903B0">
            <w:pPr>
              <w:rPr>
                <w:sz w:val="20"/>
                <w:szCs w:val="20"/>
              </w:rPr>
            </w:pPr>
            <w:r w:rsidRPr="00B253A0">
              <w:rPr>
                <w:sz w:val="20"/>
                <w:szCs w:val="20"/>
              </w:rPr>
              <w:t xml:space="preserve">There is a settlement map at ward offices, CCI and federation conducted profile in 2009 and in 2012 sanitation mapping was done in some parts of the settlement. </w:t>
            </w:r>
          </w:p>
        </w:tc>
      </w:tr>
    </w:tbl>
    <w:p w14:paraId="24C981A0" w14:textId="77777777" w:rsidR="004B0E64" w:rsidRDefault="004B0E64"/>
    <w:p w14:paraId="50B18F6F" w14:textId="77777777" w:rsidR="004B0E64" w:rsidRDefault="004B0E64">
      <w:r>
        <w:br w:type="page"/>
      </w:r>
    </w:p>
    <w:p w14:paraId="4112025F" w14:textId="0CCB6D19" w:rsidR="004B0E64" w:rsidRDefault="004B0E64" w:rsidP="004B0E64">
      <w:pPr>
        <w:pStyle w:val="Heading1"/>
      </w:pPr>
      <w:bookmarkStart w:id="19" w:name="_Toc271363674"/>
      <w:r>
        <w:lastRenderedPageBreak/>
        <w:t>Appendix 2: Bibliography of community service learning and studio literature</w:t>
      </w:r>
      <w:bookmarkEnd w:id="19"/>
    </w:p>
    <w:p w14:paraId="59B05FEB" w14:textId="77777777" w:rsidR="004B0E64" w:rsidRDefault="004B0E64"/>
    <w:p w14:paraId="6DD9CFE3" w14:textId="2E016B83" w:rsidR="008F4B3E" w:rsidRDefault="008F4B3E" w:rsidP="004B0E64">
      <w:pPr>
        <w:ind w:left="624" w:hanging="624"/>
      </w:pPr>
      <w:r>
        <w:t xml:space="preserve">D. Archer, C. </w:t>
      </w:r>
      <w:proofErr w:type="spellStart"/>
      <w:r>
        <w:t>Luansang</w:t>
      </w:r>
      <w:proofErr w:type="spellEnd"/>
      <w:r>
        <w:t xml:space="preserve"> and S. </w:t>
      </w:r>
      <w:r w:rsidR="00607364" w:rsidRPr="00607364">
        <w:t>Boonmahathanakorn</w:t>
      </w:r>
      <w:r w:rsidR="00607364">
        <w:t xml:space="preserve"> (2012) ‘</w:t>
      </w:r>
      <w:r w:rsidR="00607364" w:rsidRPr="00607364">
        <w:t xml:space="preserve">Facilitating </w:t>
      </w:r>
      <w:r w:rsidR="00607364">
        <w:t>Community Mapping and Planning f</w:t>
      </w:r>
      <w:r w:rsidR="00607364" w:rsidRPr="00607364">
        <w:t>o</w:t>
      </w:r>
      <w:r w:rsidR="00607364">
        <w:t>r Citywide Upgrading: The Role o</w:t>
      </w:r>
      <w:r w:rsidR="00607364" w:rsidRPr="00607364">
        <w:t>f Community Architects</w:t>
      </w:r>
      <w:r w:rsidR="00607364">
        <w:t xml:space="preserve">’, </w:t>
      </w:r>
      <w:r w:rsidR="00607364" w:rsidRPr="00607364">
        <w:rPr>
          <w:i/>
        </w:rPr>
        <w:t>Environment and Urbanization</w:t>
      </w:r>
      <w:r w:rsidR="00607364">
        <w:t>, 24(</w:t>
      </w:r>
      <w:r w:rsidR="00607364" w:rsidRPr="00607364">
        <w:t>1</w:t>
      </w:r>
      <w:r w:rsidR="00607364">
        <w:t>),</w:t>
      </w:r>
      <w:r w:rsidR="00607364" w:rsidRPr="00607364">
        <w:t xml:space="preserve"> 115</w:t>
      </w:r>
      <w:r w:rsidR="00607364">
        <w:t>–</w:t>
      </w:r>
      <w:r w:rsidR="00607364" w:rsidRPr="00607364">
        <w:t>129</w:t>
      </w:r>
      <w:r w:rsidR="00607364">
        <w:t xml:space="preserve">. </w:t>
      </w:r>
    </w:p>
    <w:p w14:paraId="59E1A179" w14:textId="77777777" w:rsidR="004B0E64" w:rsidRPr="004B0E64" w:rsidRDefault="004B0E64" w:rsidP="004B0E64">
      <w:pPr>
        <w:ind w:left="624" w:hanging="624"/>
      </w:pPr>
      <w:r w:rsidRPr="004B0E64">
        <w:t xml:space="preserve">K. </w:t>
      </w:r>
      <w:proofErr w:type="spellStart"/>
      <w:r w:rsidRPr="004B0E64">
        <w:t>Balassiano</w:t>
      </w:r>
      <w:proofErr w:type="spellEnd"/>
      <w:r w:rsidRPr="004B0E64">
        <w:t xml:space="preserve"> (2011) ‘Tackling “Wicked Problems” in Planning Studio Courses’, </w:t>
      </w:r>
      <w:r w:rsidRPr="004B0E64">
        <w:rPr>
          <w:i/>
          <w:iCs/>
        </w:rPr>
        <w:t>Journal of Planning Education and Research</w:t>
      </w:r>
      <w:r w:rsidRPr="004B0E64">
        <w:rPr>
          <w:iCs/>
        </w:rPr>
        <w:t>,</w:t>
      </w:r>
      <w:r w:rsidRPr="004B0E64">
        <w:t xml:space="preserve"> 31(4), 449–460. </w:t>
      </w:r>
    </w:p>
    <w:p w14:paraId="2324E7E9" w14:textId="28612225" w:rsidR="004B0E64" w:rsidRDefault="004B0E64" w:rsidP="004B0E64">
      <w:pPr>
        <w:ind w:left="624" w:hanging="624"/>
      </w:pPr>
      <w:proofErr w:type="gramStart"/>
      <w:r w:rsidRPr="004B0E64">
        <w:t xml:space="preserve">H. S. Baum (2000) ‘Fantasies and Realities in University-community Partnerships’, </w:t>
      </w:r>
      <w:r w:rsidRPr="004B0E64">
        <w:rPr>
          <w:i/>
        </w:rPr>
        <w:t>Journal of Planning Education and Research</w:t>
      </w:r>
      <w:r w:rsidRPr="004B0E64">
        <w:t>, 20, 234–246.</w:t>
      </w:r>
      <w:proofErr w:type="gramEnd"/>
    </w:p>
    <w:p w14:paraId="6CB48426" w14:textId="3167BC82" w:rsidR="004B0E64" w:rsidRDefault="004B0E64" w:rsidP="004B0E64">
      <w:pPr>
        <w:ind w:left="624" w:hanging="624"/>
      </w:pPr>
      <w:r w:rsidRPr="004B0E64">
        <w:t xml:space="preserve">T. </w:t>
      </w:r>
      <w:proofErr w:type="spellStart"/>
      <w:r w:rsidRPr="004B0E64">
        <w:t>Bourner</w:t>
      </w:r>
      <w:proofErr w:type="spellEnd"/>
      <w:r w:rsidRPr="004B0E64">
        <w:t xml:space="preserve"> (2010) ‘A Compatible Partnership? Student-community Engagement and Traditional University Education, </w:t>
      </w:r>
      <w:r w:rsidRPr="004B0E64">
        <w:rPr>
          <w:i/>
        </w:rPr>
        <w:t>Gateways: International Journal of Community Research and Engagement</w:t>
      </w:r>
      <w:r w:rsidRPr="004B0E64">
        <w:t xml:space="preserve">, 3, 139–154. </w:t>
      </w:r>
    </w:p>
    <w:p w14:paraId="5EA5CC0F" w14:textId="66935B04" w:rsidR="00607364" w:rsidRDefault="00607364" w:rsidP="004B0E64">
      <w:pPr>
        <w:ind w:left="624" w:hanging="624"/>
      </w:pPr>
      <w:r w:rsidRPr="00607364">
        <w:t>C</w:t>
      </w:r>
      <w:r>
        <w:t xml:space="preserve">. </w:t>
      </w:r>
      <w:proofErr w:type="spellStart"/>
      <w:r>
        <w:t>Luansang</w:t>
      </w:r>
      <w:proofErr w:type="spellEnd"/>
      <w:r>
        <w:t>, S. Boonmahathanakorn and M. L.</w:t>
      </w:r>
      <w:r w:rsidRPr="00607364">
        <w:t xml:space="preserve"> Domingo-Price</w:t>
      </w:r>
      <w:r>
        <w:t xml:space="preserve"> (2012) ‘The Role of C</w:t>
      </w:r>
      <w:r w:rsidRPr="00607364">
        <w:t>o</w:t>
      </w:r>
      <w:r>
        <w:t>mmunity Architects in Upgrading: Reflecting on the E</w:t>
      </w:r>
      <w:r w:rsidRPr="00607364">
        <w:t>xperience in Asia</w:t>
      </w:r>
      <w:r>
        <w:t xml:space="preserve">’, </w:t>
      </w:r>
      <w:r w:rsidRPr="00607364">
        <w:rPr>
          <w:i/>
        </w:rPr>
        <w:t>Environment and Urbanization</w:t>
      </w:r>
      <w:r>
        <w:t>, 24(2),</w:t>
      </w:r>
      <w:r w:rsidRPr="00607364">
        <w:t xml:space="preserve"> 497</w:t>
      </w:r>
      <w:r>
        <w:t xml:space="preserve">–512. </w:t>
      </w:r>
    </w:p>
    <w:p w14:paraId="70C02D08" w14:textId="73B7A39C" w:rsidR="004B0E64" w:rsidRDefault="004B0E64" w:rsidP="004B0E64">
      <w:pPr>
        <w:ind w:left="624" w:hanging="624"/>
      </w:pPr>
      <w:r w:rsidRPr="004B0E64">
        <w:t xml:space="preserve">S. </w:t>
      </w:r>
      <w:proofErr w:type="spellStart"/>
      <w:r w:rsidRPr="004B0E64">
        <w:t>Roakes</w:t>
      </w:r>
      <w:proofErr w:type="spellEnd"/>
      <w:r w:rsidRPr="004B0E64">
        <w:t xml:space="preserve"> and D. Norris-</w:t>
      </w:r>
      <w:proofErr w:type="spellStart"/>
      <w:r w:rsidRPr="004B0E64">
        <w:t>Tirrell</w:t>
      </w:r>
      <w:proofErr w:type="spellEnd"/>
      <w:r w:rsidRPr="004B0E64">
        <w:t xml:space="preserve"> (2000) ‘Community Service Learning in Planning Education: A Framework for Course Development’, </w:t>
      </w:r>
      <w:r w:rsidRPr="004B0E64">
        <w:rPr>
          <w:bCs/>
          <w:i/>
        </w:rPr>
        <w:t>Journal of Planning Education and Research</w:t>
      </w:r>
      <w:r w:rsidRPr="004B0E64">
        <w:t xml:space="preserve">, </w:t>
      </w:r>
      <w:r w:rsidRPr="004B0E64">
        <w:rPr>
          <w:bCs/>
        </w:rPr>
        <w:t>20,</w:t>
      </w:r>
      <w:r w:rsidRPr="004B0E64">
        <w:rPr>
          <w:b/>
          <w:bCs/>
        </w:rPr>
        <w:t xml:space="preserve"> </w:t>
      </w:r>
      <w:r w:rsidRPr="004B0E64">
        <w:t>100–110.</w:t>
      </w:r>
    </w:p>
    <w:p w14:paraId="5F0377C2" w14:textId="77777777" w:rsidR="004B0E64" w:rsidRPr="004B0E64" w:rsidRDefault="004B0E64" w:rsidP="004B0E64">
      <w:pPr>
        <w:ind w:left="624" w:hanging="624"/>
        <w:rPr>
          <w:bCs/>
        </w:rPr>
      </w:pPr>
      <w:r w:rsidRPr="004B0E64">
        <w:rPr>
          <w:bCs/>
        </w:rPr>
        <w:t xml:space="preserve">T. Winkler (2013) ‘At the Coalface: Community–University Engagements and Planning Education’, </w:t>
      </w:r>
      <w:r w:rsidRPr="004B0E64">
        <w:rPr>
          <w:bCs/>
          <w:i/>
        </w:rPr>
        <w:t>Journal of Planning Education and Research</w:t>
      </w:r>
      <w:r w:rsidRPr="004B0E64">
        <w:rPr>
          <w:bCs/>
        </w:rPr>
        <w:t>, 33(2), 215–227.</w:t>
      </w:r>
    </w:p>
    <w:p w14:paraId="231644C4" w14:textId="77777777" w:rsidR="004B0E64" w:rsidRPr="004B0E64" w:rsidRDefault="004B0E64" w:rsidP="004B0E64">
      <w:pPr>
        <w:ind w:left="624" w:hanging="624"/>
      </w:pPr>
      <w:r w:rsidRPr="004B0E64">
        <w:t xml:space="preserve">R. </w:t>
      </w:r>
      <w:proofErr w:type="spellStart"/>
      <w:r w:rsidRPr="004B0E64">
        <w:t>Zehner</w:t>
      </w:r>
      <w:proofErr w:type="spellEnd"/>
      <w:r w:rsidRPr="004B0E64">
        <w:t xml:space="preserve">, G. Forsyth, E. Musgrave, D. Neale, B. </w:t>
      </w:r>
      <w:proofErr w:type="spellStart"/>
      <w:r w:rsidRPr="004B0E64">
        <w:t>Harpe</w:t>
      </w:r>
      <w:proofErr w:type="spellEnd"/>
      <w:r w:rsidRPr="004B0E64">
        <w:t xml:space="preserve">, F. Peterson, N. </w:t>
      </w:r>
      <w:proofErr w:type="spellStart"/>
      <w:r w:rsidRPr="004B0E64">
        <w:t>Frankham</w:t>
      </w:r>
      <w:proofErr w:type="spellEnd"/>
      <w:r w:rsidRPr="004B0E64">
        <w:t xml:space="preserve">, S. Wilson and K. Watson (2009) </w:t>
      </w:r>
      <w:r w:rsidRPr="004B0E64">
        <w:rPr>
          <w:i/>
        </w:rPr>
        <w:t>Curriculum Development in Studio Teaching</w:t>
      </w:r>
      <w:r w:rsidRPr="004B0E64">
        <w:t>, STP final report (San Francisco: Creative Commons).</w:t>
      </w:r>
    </w:p>
    <w:p w14:paraId="5E5C9F00" w14:textId="77777777" w:rsidR="004B0E64" w:rsidRDefault="004B0E64"/>
    <w:p w14:paraId="399B1157" w14:textId="2DC9168C" w:rsidR="00607364" w:rsidRDefault="008F4B3E">
      <w:r>
        <w:t>For further guidance on community-based projects, you may consult</w:t>
      </w:r>
      <w:r w:rsidR="00ED76CD">
        <w:t xml:space="preserve"> the following resources</w:t>
      </w:r>
      <w:r w:rsidR="00607364">
        <w:t>:</w:t>
      </w:r>
    </w:p>
    <w:p w14:paraId="253DBEBA" w14:textId="2239E8E1" w:rsidR="008F4B3E" w:rsidRDefault="00607364" w:rsidP="00607364">
      <w:pPr>
        <w:pStyle w:val="ListParagraph"/>
        <w:numPr>
          <w:ilvl w:val="0"/>
          <w:numId w:val="35"/>
        </w:numPr>
      </w:pPr>
      <w:r>
        <w:t>A handbook</w:t>
      </w:r>
      <w:r w:rsidR="008F4B3E">
        <w:t xml:space="preserve"> produced by the Community Architects Network and </w:t>
      </w:r>
      <w:r>
        <w:t xml:space="preserve">the </w:t>
      </w:r>
      <w:r w:rsidR="008F4B3E" w:rsidRPr="008F4B3E">
        <w:t xml:space="preserve">Asian Coalition for Housing Rights </w:t>
      </w:r>
      <w:r w:rsidR="008F4B3E">
        <w:t xml:space="preserve">on the </w:t>
      </w:r>
      <w:r>
        <w:t xml:space="preserve">topic </w:t>
      </w:r>
      <w:r w:rsidR="008F4B3E">
        <w:t>‘</w:t>
      </w:r>
      <w:r w:rsidR="008F4B3E" w:rsidRPr="008F4B3E">
        <w:t xml:space="preserve">Comprehensive site planning: Transform community to better </w:t>
      </w:r>
      <w:r w:rsidR="008F4B3E">
        <w:t>living place for all’, available at</w:t>
      </w:r>
      <w:r>
        <w:t xml:space="preserve"> </w:t>
      </w:r>
      <w:hyperlink r:id="rId14" w:history="1">
        <w:r w:rsidRPr="005267F8">
          <w:rPr>
            <w:rStyle w:val="Hyperlink"/>
          </w:rPr>
          <w:t>http://www.africanplanningschools.org.za/images/aaps/can-achr_comprehensive_site%20planning_handbook.pdf</w:t>
        </w:r>
      </w:hyperlink>
      <w:r>
        <w:t xml:space="preserve"> </w:t>
      </w:r>
    </w:p>
    <w:p w14:paraId="12FD0DA3" w14:textId="6149E0EE" w:rsidR="00E06F5A" w:rsidRDefault="00E06F5A" w:rsidP="00607364">
      <w:pPr>
        <w:pStyle w:val="ListParagraph"/>
        <w:numPr>
          <w:ilvl w:val="0"/>
          <w:numId w:val="35"/>
        </w:numPr>
      </w:pPr>
      <w:r>
        <w:t xml:space="preserve">A handbook produced by the </w:t>
      </w:r>
      <w:proofErr w:type="spellStart"/>
      <w:r>
        <w:t>Huairou</w:t>
      </w:r>
      <w:proofErr w:type="spellEnd"/>
      <w:r>
        <w:t xml:space="preserve"> Commission on community mapping, available at </w:t>
      </w:r>
      <w:hyperlink r:id="rId15" w:history="1">
        <w:r w:rsidRPr="005267F8">
          <w:rPr>
            <w:rStyle w:val="Hyperlink"/>
          </w:rPr>
          <w:t>http://huairou.org/sites/default/files/Community%20Mapping%20Handbook.pdf</w:t>
        </w:r>
      </w:hyperlink>
    </w:p>
    <w:p w14:paraId="5CD4009C" w14:textId="71964B06" w:rsidR="00E06F5A" w:rsidRDefault="00E06F5A" w:rsidP="00607364">
      <w:pPr>
        <w:pStyle w:val="ListParagraph"/>
        <w:numPr>
          <w:ilvl w:val="0"/>
          <w:numId w:val="35"/>
        </w:numPr>
      </w:pPr>
      <w:r>
        <w:t xml:space="preserve">A handbook produced by </w:t>
      </w:r>
      <w:proofErr w:type="spellStart"/>
      <w:r>
        <w:t>WaterAid</w:t>
      </w:r>
      <w:proofErr w:type="spellEnd"/>
      <w:r>
        <w:t xml:space="preserve"> on ‘Community Mapping: A Tool for Community Organising’, available </w:t>
      </w:r>
      <w:hyperlink r:id="rId16" w:history="1">
        <w:r w:rsidRPr="00ED76CD">
          <w:rPr>
            <w:rStyle w:val="Hyperlink"/>
          </w:rPr>
          <w:t>here</w:t>
        </w:r>
      </w:hyperlink>
      <w:r>
        <w:t>.</w:t>
      </w:r>
    </w:p>
    <w:p w14:paraId="0BEAEF3C" w14:textId="6AF1CF73" w:rsidR="00BC108A" w:rsidRDefault="00BC108A">
      <w:r>
        <w:br w:type="page"/>
      </w:r>
    </w:p>
    <w:p w14:paraId="4C7D0AD9" w14:textId="3E361828" w:rsidR="00CF56A5" w:rsidRDefault="00BC108A" w:rsidP="00E05222">
      <w:pPr>
        <w:pStyle w:val="Heading1"/>
      </w:pPr>
      <w:bookmarkStart w:id="20" w:name="_Toc271363675"/>
      <w:r>
        <w:lastRenderedPageBreak/>
        <w:t xml:space="preserve">Appendix </w:t>
      </w:r>
      <w:r w:rsidR="004B0E64">
        <w:t>3</w:t>
      </w:r>
      <w:r w:rsidR="00E05222">
        <w:t>: Example memorandum of understanding</w:t>
      </w:r>
      <w:bookmarkEnd w:id="20"/>
    </w:p>
    <w:p w14:paraId="3E8A6D8F" w14:textId="77777777" w:rsidR="00E05222" w:rsidRDefault="00E05222"/>
    <w:p w14:paraId="1F012AFC" w14:textId="77777777" w:rsidR="00E05222" w:rsidRPr="00B253A0" w:rsidRDefault="00E05222" w:rsidP="00E05222">
      <w:pPr>
        <w:jc w:val="center"/>
        <w:rPr>
          <w:sz w:val="20"/>
        </w:rPr>
      </w:pPr>
      <w:r w:rsidRPr="00B253A0">
        <w:rPr>
          <w:sz w:val="20"/>
        </w:rPr>
        <w:t>MEMORANDUM OF UNDERSTANDING BETWEEN THE CITY COUNCIL OF NAIROBI, PAMOJA TRUST, UNIVERSITY OF NAIROBI, AND THE RESIDENTS OF MATHARE</w:t>
      </w:r>
    </w:p>
    <w:p w14:paraId="647013FD" w14:textId="77777777" w:rsidR="00E05222" w:rsidRPr="00B253A0" w:rsidRDefault="00E05222" w:rsidP="00E05222">
      <w:pPr>
        <w:rPr>
          <w:sz w:val="20"/>
        </w:rPr>
      </w:pPr>
    </w:p>
    <w:p w14:paraId="0ADAD067" w14:textId="46092D2D" w:rsidR="00E05222" w:rsidRPr="00B253A0" w:rsidRDefault="00B253A0" w:rsidP="00E05222">
      <w:pPr>
        <w:rPr>
          <w:b/>
          <w:sz w:val="20"/>
        </w:rPr>
      </w:pPr>
      <w:r>
        <w:rPr>
          <w:b/>
          <w:sz w:val="20"/>
        </w:rPr>
        <w:t>Parties to the Agreement</w:t>
      </w:r>
    </w:p>
    <w:p w14:paraId="0779C481" w14:textId="3ABBB610" w:rsidR="00E05222" w:rsidRPr="00B253A0" w:rsidRDefault="00E05222" w:rsidP="00E05222">
      <w:pPr>
        <w:pStyle w:val="ListParagraph"/>
        <w:numPr>
          <w:ilvl w:val="0"/>
          <w:numId w:val="27"/>
        </w:numPr>
        <w:rPr>
          <w:sz w:val="20"/>
        </w:rPr>
      </w:pPr>
      <w:r w:rsidRPr="00B253A0">
        <w:rPr>
          <w:sz w:val="20"/>
        </w:rPr>
        <w:t>Nairobi City Council</w:t>
      </w:r>
    </w:p>
    <w:p w14:paraId="42F0BD18" w14:textId="763BD41D" w:rsidR="00E05222" w:rsidRPr="00B253A0" w:rsidRDefault="00E05222" w:rsidP="00E05222">
      <w:pPr>
        <w:pStyle w:val="ListParagraph"/>
        <w:numPr>
          <w:ilvl w:val="0"/>
          <w:numId w:val="27"/>
        </w:numPr>
        <w:rPr>
          <w:sz w:val="20"/>
        </w:rPr>
      </w:pPr>
      <w:r w:rsidRPr="00B253A0">
        <w:rPr>
          <w:sz w:val="20"/>
        </w:rPr>
        <w:t xml:space="preserve">Residents of the following settlements in </w:t>
      </w:r>
      <w:proofErr w:type="spellStart"/>
      <w:r w:rsidRPr="00B253A0">
        <w:rPr>
          <w:sz w:val="20"/>
        </w:rPr>
        <w:t>Mathare</w:t>
      </w:r>
      <w:proofErr w:type="spellEnd"/>
      <w:r w:rsidRPr="00B253A0">
        <w:rPr>
          <w:sz w:val="20"/>
        </w:rPr>
        <w:t xml:space="preserve">: Kosovo, </w:t>
      </w:r>
      <w:proofErr w:type="spellStart"/>
      <w:r w:rsidRPr="00B253A0">
        <w:rPr>
          <w:sz w:val="20"/>
        </w:rPr>
        <w:t>Mathare</w:t>
      </w:r>
      <w:proofErr w:type="spellEnd"/>
      <w:r w:rsidRPr="00B253A0">
        <w:rPr>
          <w:sz w:val="20"/>
        </w:rPr>
        <w:t xml:space="preserve"> 4B, </w:t>
      </w:r>
      <w:proofErr w:type="spellStart"/>
      <w:r w:rsidRPr="00B253A0">
        <w:rPr>
          <w:sz w:val="20"/>
        </w:rPr>
        <w:t>Mabatini</w:t>
      </w:r>
      <w:proofErr w:type="spellEnd"/>
      <w:r w:rsidRPr="00B253A0">
        <w:rPr>
          <w:sz w:val="20"/>
        </w:rPr>
        <w:t xml:space="preserve">, </w:t>
      </w:r>
      <w:proofErr w:type="spellStart"/>
      <w:r w:rsidRPr="00B253A0">
        <w:rPr>
          <w:sz w:val="20"/>
        </w:rPr>
        <w:t>Mashimoni</w:t>
      </w:r>
      <w:proofErr w:type="spellEnd"/>
      <w:r w:rsidRPr="00B253A0">
        <w:rPr>
          <w:sz w:val="20"/>
        </w:rPr>
        <w:t xml:space="preserve"> No.</w:t>
      </w:r>
      <w:r w:rsidR="00914FA3">
        <w:rPr>
          <w:sz w:val="20"/>
        </w:rPr>
        <w:t xml:space="preserve"> </w:t>
      </w:r>
      <w:r w:rsidRPr="00B253A0">
        <w:rPr>
          <w:sz w:val="20"/>
        </w:rPr>
        <w:t>10</w:t>
      </w:r>
    </w:p>
    <w:p w14:paraId="3114F4E8" w14:textId="28930C33" w:rsidR="00E05222" w:rsidRPr="00B253A0" w:rsidRDefault="00E05222" w:rsidP="00E05222">
      <w:pPr>
        <w:pStyle w:val="ListParagraph"/>
        <w:numPr>
          <w:ilvl w:val="0"/>
          <w:numId w:val="27"/>
        </w:numPr>
        <w:rPr>
          <w:sz w:val="20"/>
        </w:rPr>
      </w:pPr>
      <w:proofErr w:type="spellStart"/>
      <w:r w:rsidRPr="00B253A0">
        <w:rPr>
          <w:sz w:val="20"/>
        </w:rPr>
        <w:t>Pamoja</w:t>
      </w:r>
      <w:proofErr w:type="spellEnd"/>
      <w:r w:rsidRPr="00B253A0">
        <w:rPr>
          <w:sz w:val="20"/>
        </w:rPr>
        <w:t xml:space="preserve"> Trust</w:t>
      </w:r>
    </w:p>
    <w:p w14:paraId="0C044220" w14:textId="7B456E8B" w:rsidR="00E05222" w:rsidRPr="00B253A0" w:rsidRDefault="00E05222" w:rsidP="00E05222">
      <w:pPr>
        <w:pStyle w:val="ListParagraph"/>
        <w:numPr>
          <w:ilvl w:val="0"/>
          <w:numId w:val="27"/>
        </w:numPr>
        <w:rPr>
          <w:sz w:val="20"/>
        </w:rPr>
      </w:pPr>
      <w:r w:rsidRPr="00B253A0">
        <w:rPr>
          <w:sz w:val="20"/>
        </w:rPr>
        <w:t>University of Nairobi</w:t>
      </w:r>
    </w:p>
    <w:p w14:paraId="31AEB2A6" w14:textId="77777777" w:rsidR="00E05222" w:rsidRPr="00B253A0" w:rsidRDefault="00E05222" w:rsidP="00E05222">
      <w:pPr>
        <w:rPr>
          <w:sz w:val="20"/>
        </w:rPr>
      </w:pPr>
    </w:p>
    <w:p w14:paraId="1A6970F0" w14:textId="77777777" w:rsidR="00E05222" w:rsidRPr="00B253A0" w:rsidRDefault="00E05222" w:rsidP="00E05222">
      <w:pPr>
        <w:rPr>
          <w:b/>
          <w:sz w:val="20"/>
        </w:rPr>
      </w:pPr>
      <w:r w:rsidRPr="00B253A0">
        <w:rPr>
          <w:b/>
          <w:sz w:val="20"/>
        </w:rPr>
        <w:t>Preamble</w:t>
      </w:r>
    </w:p>
    <w:p w14:paraId="5A1E5A36" w14:textId="77777777" w:rsidR="00E05222" w:rsidRPr="00B253A0" w:rsidRDefault="00E05222" w:rsidP="00E05222">
      <w:pPr>
        <w:rPr>
          <w:sz w:val="20"/>
        </w:rPr>
      </w:pPr>
      <w:r w:rsidRPr="00B253A0">
        <w:rPr>
          <w:sz w:val="20"/>
        </w:rPr>
        <w:t xml:space="preserve">Taking Note that the City Council of Nairobi, the University of Nairobi and </w:t>
      </w:r>
      <w:proofErr w:type="spellStart"/>
      <w:r w:rsidRPr="00B253A0">
        <w:rPr>
          <w:sz w:val="20"/>
        </w:rPr>
        <w:t>Pamoja</w:t>
      </w:r>
      <w:proofErr w:type="spellEnd"/>
      <w:r w:rsidRPr="00B253A0">
        <w:rPr>
          <w:sz w:val="20"/>
        </w:rPr>
        <w:t xml:space="preserve"> Trust have been working closely with the residents of the above named four informal settlements of </w:t>
      </w:r>
      <w:proofErr w:type="spellStart"/>
      <w:r w:rsidRPr="00B253A0">
        <w:rPr>
          <w:sz w:val="20"/>
        </w:rPr>
        <w:t>Mathare</w:t>
      </w:r>
      <w:proofErr w:type="spellEnd"/>
      <w:r w:rsidRPr="00B253A0">
        <w:rPr>
          <w:sz w:val="20"/>
        </w:rPr>
        <w:t xml:space="preserve"> towards improving their living conditions</w:t>
      </w:r>
    </w:p>
    <w:p w14:paraId="5977BE34" w14:textId="77777777" w:rsidR="00E05222" w:rsidRPr="00B253A0" w:rsidRDefault="00E05222" w:rsidP="00E05222">
      <w:pPr>
        <w:rPr>
          <w:sz w:val="20"/>
        </w:rPr>
      </w:pPr>
      <w:r w:rsidRPr="00B253A0">
        <w:rPr>
          <w:sz w:val="20"/>
        </w:rPr>
        <w:t xml:space="preserve">Now therefore, the City Council of Nairobi, </w:t>
      </w:r>
      <w:proofErr w:type="spellStart"/>
      <w:r w:rsidRPr="00B253A0">
        <w:rPr>
          <w:sz w:val="20"/>
        </w:rPr>
        <w:t>Pamoja</w:t>
      </w:r>
      <w:proofErr w:type="spellEnd"/>
      <w:r w:rsidRPr="00B253A0">
        <w:rPr>
          <w:sz w:val="20"/>
        </w:rPr>
        <w:t xml:space="preserve"> Trust, and the University of Nairobi have entered into this agreement in furtherance of their common goal of upgrading the four settlements.</w:t>
      </w:r>
    </w:p>
    <w:p w14:paraId="09F81F59" w14:textId="77777777" w:rsidR="00E05222" w:rsidRPr="00B253A0" w:rsidRDefault="00E05222" w:rsidP="00E05222">
      <w:pPr>
        <w:rPr>
          <w:sz w:val="20"/>
        </w:rPr>
      </w:pPr>
    </w:p>
    <w:p w14:paraId="61C8C301" w14:textId="77777777" w:rsidR="00E05222" w:rsidRPr="00B253A0" w:rsidRDefault="00E05222" w:rsidP="00E05222">
      <w:pPr>
        <w:rPr>
          <w:b/>
          <w:sz w:val="20"/>
        </w:rPr>
      </w:pPr>
      <w:r w:rsidRPr="00B253A0">
        <w:rPr>
          <w:b/>
          <w:sz w:val="20"/>
        </w:rPr>
        <w:t>The Beneficiaries of the Programme</w:t>
      </w:r>
    </w:p>
    <w:p w14:paraId="6DEDEFB4" w14:textId="77777777" w:rsidR="00E05222" w:rsidRPr="00B253A0" w:rsidRDefault="00E05222" w:rsidP="00E05222">
      <w:pPr>
        <w:rPr>
          <w:sz w:val="20"/>
        </w:rPr>
      </w:pPr>
      <w:r w:rsidRPr="00B253A0">
        <w:rPr>
          <w:sz w:val="20"/>
        </w:rPr>
        <w:t xml:space="preserve">The Beneficiaries of the programme shall be all the residents, both tenants and structure owners, currently resident in the above named settlements of </w:t>
      </w:r>
      <w:proofErr w:type="spellStart"/>
      <w:r w:rsidRPr="00B253A0">
        <w:rPr>
          <w:sz w:val="20"/>
        </w:rPr>
        <w:t>Mathare</w:t>
      </w:r>
      <w:proofErr w:type="spellEnd"/>
      <w:r w:rsidRPr="00B253A0">
        <w:rPr>
          <w:sz w:val="20"/>
        </w:rPr>
        <w:t xml:space="preserve"> and any relocation, or spill over site that may be identified and agreed upon by the parties.</w:t>
      </w:r>
    </w:p>
    <w:p w14:paraId="0ED74159" w14:textId="77777777" w:rsidR="00E05222" w:rsidRPr="00B253A0" w:rsidRDefault="00E05222" w:rsidP="00E05222">
      <w:pPr>
        <w:rPr>
          <w:sz w:val="20"/>
        </w:rPr>
      </w:pPr>
    </w:p>
    <w:p w14:paraId="5C11AD46" w14:textId="77777777" w:rsidR="00E05222" w:rsidRPr="00B253A0" w:rsidRDefault="00E05222" w:rsidP="00E05222">
      <w:pPr>
        <w:rPr>
          <w:b/>
          <w:sz w:val="20"/>
        </w:rPr>
      </w:pPr>
      <w:r w:rsidRPr="00B253A0">
        <w:rPr>
          <w:b/>
          <w:sz w:val="20"/>
        </w:rPr>
        <w:t>The Programme Period</w:t>
      </w:r>
    </w:p>
    <w:p w14:paraId="2D312B06" w14:textId="77777777" w:rsidR="00E05222" w:rsidRPr="00B253A0" w:rsidRDefault="00E05222" w:rsidP="00B253A0">
      <w:pPr>
        <w:rPr>
          <w:sz w:val="20"/>
        </w:rPr>
      </w:pPr>
      <w:r w:rsidRPr="00B253A0">
        <w:rPr>
          <w:sz w:val="20"/>
        </w:rPr>
        <w:t>The programme shall commence on the 1st of January 2009 and shall run for a period of two years, ending on 31st of December, 2011.</w:t>
      </w:r>
    </w:p>
    <w:p w14:paraId="11E0A6FB" w14:textId="77777777" w:rsidR="00B253A0" w:rsidRPr="00B253A0" w:rsidRDefault="00B253A0" w:rsidP="00B253A0">
      <w:pPr>
        <w:ind w:left="360"/>
        <w:rPr>
          <w:sz w:val="20"/>
        </w:rPr>
      </w:pPr>
    </w:p>
    <w:p w14:paraId="524C61CA" w14:textId="77777777" w:rsidR="00E05222" w:rsidRPr="00B253A0" w:rsidRDefault="00E05222" w:rsidP="00B253A0">
      <w:pPr>
        <w:rPr>
          <w:b/>
          <w:sz w:val="20"/>
        </w:rPr>
      </w:pPr>
      <w:r w:rsidRPr="00B253A0">
        <w:rPr>
          <w:b/>
          <w:sz w:val="20"/>
        </w:rPr>
        <w:t>Objectives of the Programme</w:t>
      </w:r>
    </w:p>
    <w:p w14:paraId="57506FB4" w14:textId="77777777" w:rsidR="00E05222" w:rsidRPr="00B253A0" w:rsidRDefault="00E05222" w:rsidP="00B253A0">
      <w:pPr>
        <w:rPr>
          <w:sz w:val="20"/>
        </w:rPr>
      </w:pPr>
      <w:r w:rsidRPr="00B253A0">
        <w:rPr>
          <w:sz w:val="20"/>
        </w:rPr>
        <w:t>The programme will have the following broad objectives:</w:t>
      </w:r>
    </w:p>
    <w:p w14:paraId="43DA26C1" w14:textId="055CFFD4" w:rsidR="00E05222" w:rsidRPr="00B253A0" w:rsidRDefault="00E05222" w:rsidP="00B253A0">
      <w:pPr>
        <w:pStyle w:val="ListParagraph"/>
        <w:numPr>
          <w:ilvl w:val="0"/>
          <w:numId w:val="28"/>
        </w:numPr>
        <w:rPr>
          <w:sz w:val="20"/>
        </w:rPr>
      </w:pPr>
      <w:r w:rsidRPr="00B253A0">
        <w:rPr>
          <w:sz w:val="20"/>
        </w:rPr>
        <w:t xml:space="preserve">To improve the living conditions of the residents of the four informal settlements of </w:t>
      </w:r>
      <w:proofErr w:type="spellStart"/>
      <w:r w:rsidRPr="00B253A0">
        <w:rPr>
          <w:sz w:val="20"/>
        </w:rPr>
        <w:t>Mathare</w:t>
      </w:r>
      <w:proofErr w:type="spellEnd"/>
      <w:r w:rsidRPr="00B253A0">
        <w:rPr>
          <w:sz w:val="20"/>
        </w:rPr>
        <w:t xml:space="preserve"> through</w:t>
      </w:r>
      <w:r w:rsidR="00B253A0" w:rsidRPr="00B253A0">
        <w:rPr>
          <w:sz w:val="20"/>
        </w:rPr>
        <w:t>:</w:t>
      </w:r>
    </w:p>
    <w:p w14:paraId="230D9634" w14:textId="010FC79E" w:rsidR="00E05222" w:rsidRPr="00B253A0" w:rsidRDefault="00E05222" w:rsidP="00B253A0">
      <w:pPr>
        <w:pStyle w:val="ListParagraph"/>
        <w:numPr>
          <w:ilvl w:val="1"/>
          <w:numId w:val="28"/>
        </w:numPr>
        <w:rPr>
          <w:sz w:val="20"/>
        </w:rPr>
      </w:pPr>
      <w:r w:rsidRPr="00B253A0">
        <w:rPr>
          <w:sz w:val="20"/>
        </w:rPr>
        <w:t>The provision of secure tenure</w:t>
      </w:r>
      <w:r w:rsidR="00B253A0" w:rsidRPr="00B253A0">
        <w:rPr>
          <w:sz w:val="20"/>
        </w:rPr>
        <w:t>.</w:t>
      </w:r>
    </w:p>
    <w:p w14:paraId="5B48056E" w14:textId="5569A9C6" w:rsidR="00E05222" w:rsidRPr="00B253A0" w:rsidRDefault="00E05222" w:rsidP="00B253A0">
      <w:pPr>
        <w:pStyle w:val="ListParagraph"/>
        <w:numPr>
          <w:ilvl w:val="1"/>
          <w:numId w:val="28"/>
        </w:numPr>
        <w:rPr>
          <w:sz w:val="20"/>
        </w:rPr>
      </w:pPr>
      <w:r w:rsidRPr="00B253A0">
        <w:rPr>
          <w:sz w:val="20"/>
        </w:rPr>
        <w:t>The provision of sufficient infrastructure and services</w:t>
      </w:r>
      <w:r w:rsidR="00B253A0" w:rsidRPr="00B253A0">
        <w:rPr>
          <w:sz w:val="20"/>
        </w:rPr>
        <w:t>.</w:t>
      </w:r>
    </w:p>
    <w:p w14:paraId="7505442B" w14:textId="51A305AB" w:rsidR="00E05222" w:rsidRPr="00B253A0" w:rsidRDefault="00E05222" w:rsidP="00B253A0">
      <w:pPr>
        <w:pStyle w:val="ListParagraph"/>
        <w:numPr>
          <w:ilvl w:val="1"/>
          <w:numId w:val="28"/>
        </w:numPr>
        <w:rPr>
          <w:sz w:val="20"/>
        </w:rPr>
      </w:pPr>
      <w:r w:rsidRPr="00B253A0">
        <w:rPr>
          <w:sz w:val="20"/>
        </w:rPr>
        <w:t>Increased access to improved housing</w:t>
      </w:r>
      <w:r w:rsidR="00B253A0" w:rsidRPr="00B253A0">
        <w:rPr>
          <w:sz w:val="20"/>
        </w:rPr>
        <w:t>.</w:t>
      </w:r>
    </w:p>
    <w:p w14:paraId="66152572" w14:textId="761D5645" w:rsidR="00E05222" w:rsidRPr="00B253A0" w:rsidRDefault="00E05222" w:rsidP="00B253A0">
      <w:pPr>
        <w:pStyle w:val="ListParagraph"/>
        <w:numPr>
          <w:ilvl w:val="0"/>
          <w:numId w:val="28"/>
        </w:numPr>
        <w:rPr>
          <w:sz w:val="20"/>
        </w:rPr>
      </w:pPr>
      <w:r w:rsidRPr="00B253A0">
        <w:rPr>
          <w:sz w:val="20"/>
        </w:rPr>
        <w:t>To enhance the residents’ capacity to participate in the upgrading of their settlements and to thereafter manage and maintain any improvements made</w:t>
      </w:r>
      <w:r w:rsidR="00B253A0" w:rsidRPr="00B253A0">
        <w:rPr>
          <w:sz w:val="20"/>
        </w:rPr>
        <w:t>.</w:t>
      </w:r>
    </w:p>
    <w:p w14:paraId="544A821F" w14:textId="0C0180BB" w:rsidR="00E05222" w:rsidRPr="00B253A0" w:rsidRDefault="00E05222" w:rsidP="00B253A0">
      <w:pPr>
        <w:pStyle w:val="ListParagraph"/>
        <w:numPr>
          <w:ilvl w:val="0"/>
          <w:numId w:val="28"/>
        </w:numPr>
        <w:rPr>
          <w:sz w:val="20"/>
        </w:rPr>
      </w:pPr>
      <w:r w:rsidRPr="00B253A0">
        <w:rPr>
          <w:sz w:val="20"/>
        </w:rPr>
        <w:t>To improve the livelihoods of the residents through the development of skills and the promotion of income generating activities. This will amongst other things enable the beneficiaries to address the social and economic issues that affect their lives such as insecurity, HIV and AIDS and its effects.</w:t>
      </w:r>
    </w:p>
    <w:p w14:paraId="496EB4D4" w14:textId="7A3E7B96" w:rsidR="00E05222" w:rsidRPr="00B253A0" w:rsidRDefault="00E05222" w:rsidP="00B253A0">
      <w:pPr>
        <w:pStyle w:val="ListParagraph"/>
        <w:numPr>
          <w:ilvl w:val="0"/>
          <w:numId w:val="28"/>
        </w:numPr>
        <w:rPr>
          <w:sz w:val="20"/>
        </w:rPr>
      </w:pPr>
      <w:r w:rsidRPr="00B253A0">
        <w:rPr>
          <w:sz w:val="20"/>
        </w:rPr>
        <w:t xml:space="preserve">To ensure greater access to public services such as schools, health facilities, waste collection, youth </w:t>
      </w:r>
      <w:r w:rsidR="00B253A0" w:rsidRPr="00B253A0">
        <w:rPr>
          <w:sz w:val="20"/>
        </w:rPr>
        <w:t>centres</w:t>
      </w:r>
      <w:r w:rsidRPr="00B253A0">
        <w:rPr>
          <w:sz w:val="20"/>
        </w:rPr>
        <w:t xml:space="preserve"> and recreational facilities.</w:t>
      </w:r>
    </w:p>
    <w:p w14:paraId="3D28CCE1" w14:textId="77777777" w:rsidR="00B253A0" w:rsidRPr="00B253A0" w:rsidRDefault="00B253A0" w:rsidP="00E05222">
      <w:pPr>
        <w:rPr>
          <w:sz w:val="20"/>
        </w:rPr>
      </w:pPr>
    </w:p>
    <w:p w14:paraId="371C137D" w14:textId="77777777" w:rsidR="00E05222" w:rsidRPr="00B253A0" w:rsidRDefault="00E05222" w:rsidP="00E05222">
      <w:pPr>
        <w:rPr>
          <w:b/>
          <w:sz w:val="20"/>
        </w:rPr>
      </w:pPr>
      <w:r w:rsidRPr="00B253A0">
        <w:rPr>
          <w:b/>
          <w:sz w:val="20"/>
        </w:rPr>
        <w:t>Roles and Functions</w:t>
      </w:r>
    </w:p>
    <w:p w14:paraId="4B248085" w14:textId="7873B7E8" w:rsidR="00E05222" w:rsidRPr="00B253A0" w:rsidRDefault="00E05222" w:rsidP="00E05222">
      <w:pPr>
        <w:rPr>
          <w:i/>
          <w:sz w:val="20"/>
        </w:rPr>
      </w:pPr>
      <w:r w:rsidRPr="00B253A0">
        <w:rPr>
          <w:i/>
          <w:sz w:val="20"/>
        </w:rPr>
        <w:t>City Council of Nairobi</w:t>
      </w:r>
      <w:r w:rsidR="00B253A0" w:rsidRPr="00B253A0">
        <w:rPr>
          <w:i/>
          <w:sz w:val="20"/>
        </w:rPr>
        <w:t>:</w:t>
      </w:r>
    </w:p>
    <w:p w14:paraId="52634D8D" w14:textId="4A1810E5" w:rsidR="00E05222" w:rsidRPr="00B253A0" w:rsidRDefault="00E05222" w:rsidP="00B253A0">
      <w:pPr>
        <w:pStyle w:val="ListParagraph"/>
        <w:numPr>
          <w:ilvl w:val="0"/>
          <w:numId w:val="29"/>
        </w:numPr>
        <w:rPr>
          <w:sz w:val="20"/>
        </w:rPr>
      </w:pPr>
      <w:r w:rsidRPr="00B253A0">
        <w:rPr>
          <w:sz w:val="20"/>
        </w:rPr>
        <w:t xml:space="preserve">Coordinate the formulation of integrated settlement plans for the five settlements of </w:t>
      </w:r>
      <w:proofErr w:type="spellStart"/>
      <w:r w:rsidRPr="00B253A0">
        <w:rPr>
          <w:sz w:val="20"/>
        </w:rPr>
        <w:t>Mathare</w:t>
      </w:r>
      <w:proofErr w:type="spellEnd"/>
      <w:r w:rsidRPr="00B253A0">
        <w:rPr>
          <w:sz w:val="20"/>
        </w:rPr>
        <w:t>.</w:t>
      </w:r>
    </w:p>
    <w:p w14:paraId="46A2EEE4" w14:textId="184CEE25" w:rsidR="00E05222" w:rsidRPr="00B253A0" w:rsidRDefault="00E05222" w:rsidP="00B253A0">
      <w:pPr>
        <w:pStyle w:val="ListParagraph"/>
        <w:numPr>
          <w:ilvl w:val="0"/>
          <w:numId w:val="29"/>
        </w:numPr>
        <w:rPr>
          <w:sz w:val="20"/>
        </w:rPr>
      </w:pPr>
      <w:r w:rsidRPr="00B253A0">
        <w:rPr>
          <w:sz w:val="20"/>
        </w:rPr>
        <w:t>Liaise with the Ministry of Lands and other Government departments to facilitate their approval and adoption of responsive settlement plans by the City Council and respective Government Departments.</w:t>
      </w:r>
    </w:p>
    <w:p w14:paraId="73B38468" w14:textId="5A58C9D2" w:rsidR="00E05222" w:rsidRPr="00B253A0" w:rsidRDefault="00E05222" w:rsidP="00B253A0">
      <w:pPr>
        <w:pStyle w:val="ListParagraph"/>
        <w:numPr>
          <w:ilvl w:val="0"/>
          <w:numId w:val="29"/>
        </w:numPr>
        <w:rPr>
          <w:sz w:val="20"/>
        </w:rPr>
      </w:pPr>
      <w:r w:rsidRPr="00B253A0">
        <w:rPr>
          <w:sz w:val="20"/>
        </w:rPr>
        <w:t>Provide secure tenure to the residents of the planned settlements through block titling.</w:t>
      </w:r>
    </w:p>
    <w:p w14:paraId="48EB72FB" w14:textId="1B4368F7" w:rsidR="00E05222" w:rsidRPr="00B253A0" w:rsidRDefault="00E05222" w:rsidP="00B253A0">
      <w:pPr>
        <w:pStyle w:val="ListParagraph"/>
        <w:numPr>
          <w:ilvl w:val="0"/>
          <w:numId w:val="29"/>
        </w:numPr>
        <w:rPr>
          <w:sz w:val="20"/>
        </w:rPr>
      </w:pPr>
      <w:r w:rsidRPr="00B253A0">
        <w:rPr>
          <w:sz w:val="20"/>
        </w:rPr>
        <w:t>Provide leadership to all actors and stakeholders in order to ensure efficacy of the planning process.</w:t>
      </w:r>
    </w:p>
    <w:p w14:paraId="041E7FE2" w14:textId="77777777" w:rsidR="00B253A0" w:rsidRDefault="00B253A0" w:rsidP="00E05222">
      <w:pPr>
        <w:rPr>
          <w:sz w:val="20"/>
        </w:rPr>
      </w:pPr>
    </w:p>
    <w:p w14:paraId="6982606A" w14:textId="77777777" w:rsidR="00914FA3" w:rsidRDefault="00914FA3" w:rsidP="00E05222">
      <w:pPr>
        <w:rPr>
          <w:sz w:val="20"/>
        </w:rPr>
      </w:pPr>
    </w:p>
    <w:p w14:paraId="49B9C15C" w14:textId="77777777" w:rsidR="00914FA3" w:rsidRPr="00B253A0" w:rsidRDefault="00914FA3" w:rsidP="00E05222">
      <w:pPr>
        <w:rPr>
          <w:sz w:val="20"/>
        </w:rPr>
      </w:pPr>
    </w:p>
    <w:p w14:paraId="0BA6E1ED" w14:textId="6916FFAA" w:rsidR="00E05222" w:rsidRPr="00B253A0" w:rsidRDefault="00E05222" w:rsidP="00E05222">
      <w:pPr>
        <w:rPr>
          <w:i/>
          <w:sz w:val="20"/>
        </w:rPr>
      </w:pPr>
      <w:r w:rsidRPr="00B253A0">
        <w:rPr>
          <w:i/>
          <w:sz w:val="20"/>
        </w:rPr>
        <w:lastRenderedPageBreak/>
        <w:t>University of Nairobi</w:t>
      </w:r>
      <w:r w:rsidR="00B253A0" w:rsidRPr="00B253A0">
        <w:rPr>
          <w:i/>
          <w:sz w:val="20"/>
        </w:rPr>
        <w:t>:</w:t>
      </w:r>
    </w:p>
    <w:p w14:paraId="1C35F34D" w14:textId="0A632D48" w:rsidR="00E05222" w:rsidRPr="00B253A0" w:rsidRDefault="00E05222" w:rsidP="00B253A0">
      <w:pPr>
        <w:pStyle w:val="ListParagraph"/>
        <w:numPr>
          <w:ilvl w:val="0"/>
          <w:numId w:val="30"/>
        </w:numPr>
        <w:rPr>
          <w:sz w:val="20"/>
        </w:rPr>
      </w:pPr>
      <w:r w:rsidRPr="00B253A0">
        <w:rPr>
          <w:sz w:val="20"/>
        </w:rPr>
        <w:t xml:space="preserve">Formulate, in consultation with the residents, the City Council of Nairobi and </w:t>
      </w:r>
      <w:proofErr w:type="spellStart"/>
      <w:r w:rsidRPr="00B253A0">
        <w:rPr>
          <w:sz w:val="20"/>
        </w:rPr>
        <w:t>Pamoja</w:t>
      </w:r>
      <w:proofErr w:type="spellEnd"/>
      <w:r w:rsidRPr="00B253A0">
        <w:rPr>
          <w:sz w:val="20"/>
        </w:rPr>
        <w:t xml:space="preserve"> Trust, responsive settlement plans for each of the five settlements for consideration by the Council.</w:t>
      </w:r>
    </w:p>
    <w:p w14:paraId="5CC39F45" w14:textId="19CCC926" w:rsidR="00E05222" w:rsidRPr="00B253A0" w:rsidRDefault="00E05222" w:rsidP="00B253A0">
      <w:pPr>
        <w:pStyle w:val="ListParagraph"/>
        <w:numPr>
          <w:ilvl w:val="0"/>
          <w:numId w:val="30"/>
        </w:numPr>
        <w:rPr>
          <w:sz w:val="20"/>
        </w:rPr>
      </w:pPr>
      <w:r w:rsidRPr="00B253A0">
        <w:rPr>
          <w:sz w:val="20"/>
        </w:rPr>
        <w:t>Identify specific settlement planning problems through Research as a basis for seeking sustainable solutions to the identified problems.</w:t>
      </w:r>
    </w:p>
    <w:p w14:paraId="57C21326" w14:textId="604D6DCD" w:rsidR="00E05222" w:rsidRPr="00B253A0" w:rsidRDefault="00E05222" w:rsidP="00B253A0">
      <w:pPr>
        <w:pStyle w:val="ListParagraph"/>
        <w:numPr>
          <w:ilvl w:val="0"/>
          <w:numId w:val="30"/>
        </w:numPr>
        <w:rPr>
          <w:sz w:val="20"/>
        </w:rPr>
      </w:pPr>
      <w:r w:rsidRPr="00B253A0">
        <w:rPr>
          <w:sz w:val="20"/>
        </w:rPr>
        <w:t>Based on Documented best practices, prepare a draft settlement policy planning framework for adoption and approval by the Council.</w:t>
      </w:r>
    </w:p>
    <w:p w14:paraId="4B658706" w14:textId="157A37C1" w:rsidR="00E05222" w:rsidRPr="00B253A0" w:rsidRDefault="00E05222" w:rsidP="00B253A0">
      <w:pPr>
        <w:pStyle w:val="ListParagraph"/>
        <w:numPr>
          <w:ilvl w:val="0"/>
          <w:numId w:val="30"/>
        </w:numPr>
        <w:rPr>
          <w:sz w:val="20"/>
        </w:rPr>
      </w:pPr>
      <w:r w:rsidRPr="00B253A0">
        <w:rPr>
          <w:sz w:val="20"/>
        </w:rPr>
        <w:t>Assist in the monitoring and documentation of the process of upgrading and disseminate the lessons learnt from the programme to the outside world.</w:t>
      </w:r>
    </w:p>
    <w:p w14:paraId="10F9D271" w14:textId="0CB99845" w:rsidR="00E05222" w:rsidRPr="00B253A0" w:rsidRDefault="00E05222" w:rsidP="00B253A0">
      <w:pPr>
        <w:pStyle w:val="ListParagraph"/>
        <w:numPr>
          <w:ilvl w:val="0"/>
          <w:numId w:val="30"/>
        </w:numPr>
        <w:rPr>
          <w:sz w:val="20"/>
        </w:rPr>
      </w:pPr>
      <w:r w:rsidRPr="00B253A0">
        <w:rPr>
          <w:sz w:val="20"/>
        </w:rPr>
        <w:t>Train planning students through field work, and practical experience on participatory planning approaches and the formulation of responsive settlement plans.</w:t>
      </w:r>
    </w:p>
    <w:p w14:paraId="71BB1367" w14:textId="77777777" w:rsidR="00B253A0" w:rsidRPr="00B253A0" w:rsidRDefault="00B253A0" w:rsidP="00E05222">
      <w:pPr>
        <w:rPr>
          <w:sz w:val="20"/>
        </w:rPr>
      </w:pPr>
    </w:p>
    <w:p w14:paraId="5B0AE3AF" w14:textId="325B0F19" w:rsidR="00E05222" w:rsidRPr="00B253A0" w:rsidRDefault="00E05222" w:rsidP="00E05222">
      <w:pPr>
        <w:rPr>
          <w:i/>
          <w:sz w:val="20"/>
        </w:rPr>
      </w:pPr>
      <w:proofErr w:type="spellStart"/>
      <w:r w:rsidRPr="00B253A0">
        <w:rPr>
          <w:i/>
          <w:sz w:val="20"/>
        </w:rPr>
        <w:t>Pamoja</w:t>
      </w:r>
      <w:proofErr w:type="spellEnd"/>
      <w:r w:rsidRPr="00B253A0">
        <w:rPr>
          <w:i/>
          <w:sz w:val="20"/>
        </w:rPr>
        <w:t xml:space="preserve"> Trust</w:t>
      </w:r>
      <w:r w:rsidR="00B253A0" w:rsidRPr="00B253A0">
        <w:rPr>
          <w:i/>
          <w:sz w:val="20"/>
        </w:rPr>
        <w:t>:</w:t>
      </w:r>
    </w:p>
    <w:p w14:paraId="4BCD97FA" w14:textId="30E45187" w:rsidR="00E05222" w:rsidRPr="00B253A0" w:rsidRDefault="00E05222" w:rsidP="00B253A0">
      <w:pPr>
        <w:pStyle w:val="ListParagraph"/>
        <w:numPr>
          <w:ilvl w:val="0"/>
          <w:numId w:val="31"/>
        </w:numPr>
        <w:rPr>
          <w:sz w:val="20"/>
        </w:rPr>
      </w:pPr>
      <w:r w:rsidRPr="00B253A0">
        <w:rPr>
          <w:sz w:val="20"/>
        </w:rPr>
        <w:t>Liaise with other stakeholders, both public and private, in order to mobilize resources for the implementation of the integrated settlement plans formulated for each of the five settlements.</w:t>
      </w:r>
    </w:p>
    <w:p w14:paraId="294C1EC6" w14:textId="42186C4E" w:rsidR="00E05222" w:rsidRPr="00B253A0" w:rsidRDefault="00E05222" w:rsidP="00B253A0">
      <w:pPr>
        <w:pStyle w:val="ListParagraph"/>
        <w:numPr>
          <w:ilvl w:val="0"/>
          <w:numId w:val="31"/>
        </w:numPr>
        <w:rPr>
          <w:sz w:val="20"/>
        </w:rPr>
      </w:pPr>
      <w:r w:rsidRPr="00B253A0">
        <w:rPr>
          <w:sz w:val="20"/>
        </w:rPr>
        <w:t>Assist in the Enhancement of community cohesion through the facilitation of meetings, informal discussions, public fora and any other activities.</w:t>
      </w:r>
    </w:p>
    <w:p w14:paraId="68455A4F" w14:textId="3DFFB205" w:rsidR="00E05222" w:rsidRPr="00B253A0" w:rsidRDefault="00E05222" w:rsidP="00B253A0">
      <w:pPr>
        <w:pStyle w:val="ListParagraph"/>
        <w:numPr>
          <w:ilvl w:val="0"/>
          <w:numId w:val="31"/>
        </w:numPr>
        <w:rPr>
          <w:sz w:val="20"/>
        </w:rPr>
      </w:pPr>
      <w:r w:rsidRPr="00B253A0">
        <w:rPr>
          <w:sz w:val="20"/>
        </w:rPr>
        <w:t>Co-ordinate the gathering, collation and analysis of social, economic and spatial data and further produce information that can be used by the two universities as a basis for formulating integrated settlement plans for the target settlements.</w:t>
      </w:r>
    </w:p>
    <w:p w14:paraId="47A6745F" w14:textId="155D40D0" w:rsidR="00E05222" w:rsidRPr="00B253A0" w:rsidRDefault="00E05222" w:rsidP="00B253A0">
      <w:pPr>
        <w:pStyle w:val="ListParagraph"/>
        <w:numPr>
          <w:ilvl w:val="0"/>
          <w:numId w:val="31"/>
        </w:numPr>
        <w:rPr>
          <w:sz w:val="20"/>
        </w:rPr>
      </w:pPr>
      <w:r w:rsidRPr="00B253A0">
        <w:rPr>
          <w:sz w:val="20"/>
        </w:rPr>
        <w:t>To provide a documentation of settlement profiles of all unplanned settlements in Nairobi as a basis for the preparation of a planning policy framework for the City of Nairobi.</w:t>
      </w:r>
    </w:p>
    <w:p w14:paraId="57CB3B06" w14:textId="358C1A9E" w:rsidR="00E05222" w:rsidRPr="00B253A0" w:rsidRDefault="00E05222" w:rsidP="00B253A0">
      <w:pPr>
        <w:pStyle w:val="ListParagraph"/>
        <w:numPr>
          <w:ilvl w:val="0"/>
          <w:numId w:val="31"/>
        </w:numPr>
        <w:rPr>
          <w:sz w:val="20"/>
        </w:rPr>
      </w:pPr>
      <w:r w:rsidRPr="00B253A0">
        <w:rPr>
          <w:sz w:val="20"/>
        </w:rPr>
        <w:t>Build Awareness on the risk of displacement arising out of settlement planning and further build consensus on relocation mitigation strategies for those likely to be displaced.</w:t>
      </w:r>
    </w:p>
    <w:p w14:paraId="233E5337" w14:textId="77777777" w:rsidR="00B253A0" w:rsidRPr="00B253A0" w:rsidRDefault="00B253A0" w:rsidP="00E05222">
      <w:pPr>
        <w:rPr>
          <w:sz w:val="20"/>
        </w:rPr>
      </w:pPr>
    </w:p>
    <w:p w14:paraId="29DB707F" w14:textId="77777777" w:rsidR="00B253A0" w:rsidRPr="00B253A0" w:rsidRDefault="00E05222" w:rsidP="00E05222">
      <w:pPr>
        <w:rPr>
          <w:sz w:val="20"/>
        </w:rPr>
      </w:pPr>
      <w:r w:rsidRPr="00B253A0">
        <w:rPr>
          <w:sz w:val="20"/>
        </w:rPr>
        <w:t>Any dispute arising out of the interpretation of the Memorandum of Understanding will be settled amicably by consultation between the institutions, as this Memorandum is not legally enforceable.</w:t>
      </w:r>
    </w:p>
    <w:p w14:paraId="1DCF3086" w14:textId="77777777" w:rsidR="00B253A0" w:rsidRPr="00B253A0" w:rsidRDefault="00B253A0" w:rsidP="00E05222">
      <w:pPr>
        <w:rPr>
          <w:sz w:val="20"/>
        </w:rPr>
      </w:pPr>
    </w:p>
    <w:p w14:paraId="35A0BA92" w14:textId="2ADA339C" w:rsidR="00E05222" w:rsidRPr="00B253A0" w:rsidRDefault="00E05222" w:rsidP="00E05222">
      <w:pPr>
        <w:rPr>
          <w:sz w:val="20"/>
        </w:rPr>
      </w:pPr>
      <w:r w:rsidRPr="00B253A0">
        <w:rPr>
          <w:sz w:val="20"/>
        </w:rPr>
        <w:t>In witness therefore, the representatives have signed this Memorandum of Understanding on</w:t>
      </w:r>
      <w:r w:rsidR="00B253A0" w:rsidRPr="00B253A0">
        <w:rPr>
          <w:sz w:val="20"/>
        </w:rPr>
        <w:t xml:space="preserve"> 9</w:t>
      </w:r>
      <w:r w:rsidRPr="00B253A0">
        <w:rPr>
          <w:sz w:val="20"/>
        </w:rPr>
        <w:t xml:space="preserve"> December 2008 in Nairobi.</w:t>
      </w:r>
    </w:p>
    <w:p w14:paraId="72224C5A" w14:textId="77777777" w:rsidR="00E05222" w:rsidRPr="00B253A0" w:rsidRDefault="00E05222" w:rsidP="00E05222">
      <w:pPr>
        <w:rPr>
          <w:sz w:val="20"/>
        </w:rPr>
      </w:pPr>
      <w:r w:rsidRPr="00B253A0">
        <w:rPr>
          <w:sz w:val="20"/>
        </w:rPr>
        <w:t xml:space="preserve"> </w:t>
      </w:r>
    </w:p>
    <w:p w14:paraId="28D80651" w14:textId="77777777" w:rsidR="00E05222" w:rsidRPr="00B253A0" w:rsidRDefault="00E05222" w:rsidP="00E05222">
      <w:pPr>
        <w:rPr>
          <w:sz w:val="20"/>
        </w:rPr>
      </w:pPr>
    </w:p>
    <w:p w14:paraId="02772161" w14:textId="77777777" w:rsidR="00E05222" w:rsidRPr="00B253A0" w:rsidRDefault="00E05222" w:rsidP="00E05222">
      <w:pPr>
        <w:rPr>
          <w:sz w:val="20"/>
        </w:rPr>
      </w:pPr>
      <w:r w:rsidRPr="00B253A0">
        <w:rPr>
          <w:sz w:val="20"/>
        </w:rPr>
        <w:t>Director, Department of City Planning</w:t>
      </w:r>
    </w:p>
    <w:p w14:paraId="2F483273" w14:textId="4570AD8C" w:rsidR="00E05222" w:rsidRPr="00B253A0" w:rsidRDefault="00E05222" w:rsidP="00E05222">
      <w:pPr>
        <w:rPr>
          <w:sz w:val="20"/>
        </w:rPr>
      </w:pPr>
      <w:r w:rsidRPr="00B253A0">
        <w:rPr>
          <w:sz w:val="20"/>
        </w:rPr>
        <w:t>CI</w:t>
      </w:r>
      <w:r w:rsidR="00B253A0" w:rsidRPr="00B253A0">
        <w:rPr>
          <w:sz w:val="20"/>
        </w:rPr>
        <w:t>TY COUNCIL OF NAIROBI</w:t>
      </w:r>
      <w:r w:rsidR="00B253A0" w:rsidRPr="00B253A0">
        <w:rPr>
          <w:sz w:val="20"/>
        </w:rPr>
        <w:tab/>
      </w:r>
      <w:r w:rsidR="00B253A0" w:rsidRPr="00B253A0">
        <w:rPr>
          <w:sz w:val="20"/>
        </w:rPr>
        <w:tab/>
      </w:r>
      <w:r w:rsidR="00B253A0" w:rsidRPr="00B253A0">
        <w:rPr>
          <w:sz w:val="20"/>
        </w:rPr>
        <w:tab/>
      </w:r>
      <w:r w:rsidR="00B253A0" w:rsidRPr="00B253A0">
        <w:rPr>
          <w:sz w:val="20"/>
        </w:rPr>
        <w:tab/>
        <w:t xml:space="preserve">by </w:t>
      </w:r>
      <w:r w:rsidRPr="00B253A0">
        <w:rPr>
          <w:sz w:val="20"/>
        </w:rPr>
        <w:t>__________________________</w:t>
      </w:r>
      <w:r w:rsidR="00B253A0" w:rsidRPr="00B253A0">
        <w:rPr>
          <w:sz w:val="20"/>
        </w:rPr>
        <w:t>__</w:t>
      </w:r>
    </w:p>
    <w:p w14:paraId="3F664F9D" w14:textId="1FFFD6F0" w:rsidR="00E05222" w:rsidRPr="00B253A0" w:rsidRDefault="00E05222" w:rsidP="00E05222">
      <w:pPr>
        <w:rPr>
          <w:sz w:val="20"/>
        </w:rPr>
      </w:pP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00B253A0" w:rsidRPr="00B253A0">
        <w:rPr>
          <w:sz w:val="20"/>
        </w:rPr>
        <w:tab/>
      </w:r>
      <w:r w:rsidRPr="00B253A0">
        <w:rPr>
          <w:sz w:val="20"/>
        </w:rPr>
        <w:t>Director</w:t>
      </w:r>
    </w:p>
    <w:p w14:paraId="530905A3" w14:textId="77777777" w:rsidR="00E05222" w:rsidRPr="00B253A0" w:rsidRDefault="00E05222" w:rsidP="00E05222">
      <w:pPr>
        <w:rPr>
          <w:sz w:val="20"/>
        </w:rPr>
      </w:pPr>
    </w:p>
    <w:p w14:paraId="1C2A229F" w14:textId="3415DA9E" w:rsidR="00E05222" w:rsidRPr="00B253A0" w:rsidRDefault="00E05222" w:rsidP="00E05222">
      <w:pPr>
        <w:rPr>
          <w:sz w:val="20"/>
        </w:rPr>
      </w:pPr>
      <w:r w:rsidRPr="00B253A0">
        <w:rPr>
          <w:sz w:val="20"/>
        </w:rPr>
        <w:t xml:space="preserve">Department of Urban and Regional Planning </w:t>
      </w:r>
    </w:p>
    <w:p w14:paraId="177EF087" w14:textId="0EBEBF03" w:rsidR="00E05222" w:rsidRPr="00B253A0" w:rsidRDefault="00B253A0" w:rsidP="00E05222">
      <w:pPr>
        <w:rPr>
          <w:sz w:val="20"/>
        </w:rPr>
      </w:pPr>
      <w:r w:rsidRPr="00B253A0">
        <w:rPr>
          <w:sz w:val="20"/>
        </w:rPr>
        <w:t>University of Nairobi</w:t>
      </w:r>
      <w:r w:rsidRPr="00B253A0">
        <w:rPr>
          <w:sz w:val="20"/>
        </w:rPr>
        <w:tab/>
      </w:r>
      <w:r w:rsidRPr="00B253A0">
        <w:rPr>
          <w:sz w:val="20"/>
        </w:rPr>
        <w:tab/>
      </w:r>
      <w:r w:rsidRPr="00B253A0">
        <w:rPr>
          <w:sz w:val="20"/>
        </w:rPr>
        <w:tab/>
      </w:r>
      <w:r w:rsidRPr="00B253A0">
        <w:rPr>
          <w:sz w:val="20"/>
        </w:rPr>
        <w:tab/>
      </w:r>
      <w:r w:rsidRPr="00B253A0">
        <w:rPr>
          <w:sz w:val="20"/>
        </w:rPr>
        <w:tab/>
        <w:t>by ____________________________</w:t>
      </w:r>
    </w:p>
    <w:p w14:paraId="0DB6333C" w14:textId="34E57913" w:rsidR="00E05222" w:rsidRPr="00B253A0" w:rsidRDefault="00E05222" w:rsidP="00E05222">
      <w:pPr>
        <w:rPr>
          <w:sz w:val="20"/>
        </w:rPr>
      </w:pP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00B253A0" w:rsidRPr="00B253A0">
        <w:rPr>
          <w:sz w:val="20"/>
        </w:rPr>
        <w:tab/>
      </w:r>
      <w:r w:rsidRPr="00B253A0">
        <w:rPr>
          <w:sz w:val="20"/>
        </w:rPr>
        <w:t>Chairperson</w:t>
      </w:r>
    </w:p>
    <w:p w14:paraId="21D83BA6" w14:textId="77777777" w:rsidR="00E05222" w:rsidRPr="00B253A0" w:rsidRDefault="00E05222" w:rsidP="00E05222">
      <w:pPr>
        <w:rPr>
          <w:sz w:val="20"/>
        </w:rPr>
      </w:pPr>
    </w:p>
    <w:p w14:paraId="7F750147" w14:textId="55455A72" w:rsidR="00E05222" w:rsidRPr="00B253A0" w:rsidRDefault="00E05222" w:rsidP="00E05222">
      <w:pPr>
        <w:rPr>
          <w:sz w:val="20"/>
        </w:rPr>
      </w:pPr>
      <w:proofErr w:type="spellStart"/>
      <w:r w:rsidRPr="00B253A0">
        <w:rPr>
          <w:sz w:val="20"/>
        </w:rPr>
        <w:t>Pamoja</w:t>
      </w:r>
      <w:proofErr w:type="spellEnd"/>
      <w:r w:rsidRPr="00B253A0">
        <w:rPr>
          <w:sz w:val="20"/>
        </w:rPr>
        <w:t xml:space="preserve"> Trust</w:t>
      </w:r>
    </w:p>
    <w:p w14:paraId="46BF06EA" w14:textId="06838EB5" w:rsidR="00E05222" w:rsidRPr="00B253A0" w:rsidRDefault="00B253A0" w:rsidP="00E05222">
      <w:pPr>
        <w:rPr>
          <w:sz w:val="20"/>
        </w:rPr>
      </w:pPr>
      <w:r w:rsidRPr="00B253A0">
        <w:rPr>
          <w:sz w:val="20"/>
        </w:rPr>
        <w:t>Nairobi</w:t>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Pr>
          <w:sz w:val="20"/>
        </w:rPr>
        <w:tab/>
      </w:r>
      <w:r w:rsidRPr="00B253A0">
        <w:rPr>
          <w:sz w:val="20"/>
        </w:rPr>
        <w:t>by ____________________________</w:t>
      </w:r>
    </w:p>
    <w:p w14:paraId="29791E3E" w14:textId="6262971B" w:rsidR="00E05222" w:rsidRPr="00B253A0" w:rsidRDefault="00E05222" w:rsidP="00E05222">
      <w:pPr>
        <w:rPr>
          <w:sz w:val="20"/>
        </w:rPr>
      </w:pP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00B253A0" w:rsidRPr="00B253A0">
        <w:rPr>
          <w:sz w:val="20"/>
        </w:rPr>
        <w:tab/>
      </w:r>
      <w:r w:rsidRPr="00B253A0">
        <w:rPr>
          <w:sz w:val="20"/>
        </w:rPr>
        <w:t>Director</w:t>
      </w:r>
    </w:p>
    <w:p w14:paraId="268A0532" w14:textId="77777777" w:rsidR="00E05222" w:rsidRPr="00B253A0" w:rsidRDefault="00E05222" w:rsidP="00E05222">
      <w:pPr>
        <w:rPr>
          <w:sz w:val="20"/>
        </w:rPr>
      </w:pPr>
    </w:p>
    <w:p w14:paraId="17F60C62" w14:textId="77777777" w:rsidR="00E05222" w:rsidRPr="00B253A0" w:rsidRDefault="00E05222" w:rsidP="00E05222">
      <w:pPr>
        <w:rPr>
          <w:sz w:val="20"/>
        </w:rPr>
      </w:pPr>
      <w:proofErr w:type="spellStart"/>
      <w:r w:rsidRPr="00B253A0">
        <w:rPr>
          <w:sz w:val="20"/>
        </w:rPr>
        <w:t>Muunganano</w:t>
      </w:r>
      <w:proofErr w:type="spellEnd"/>
      <w:r w:rsidRPr="00B253A0">
        <w:rPr>
          <w:sz w:val="20"/>
        </w:rPr>
        <w:t xml:space="preserve"> (Federation)</w:t>
      </w:r>
    </w:p>
    <w:p w14:paraId="5545CE70" w14:textId="00067B11" w:rsidR="00E05222" w:rsidRPr="00B253A0" w:rsidRDefault="00B253A0" w:rsidP="00E05222">
      <w:pPr>
        <w:rPr>
          <w:sz w:val="20"/>
        </w:rPr>
      </w:pPr>
      <w:proofErr w:type="spellStart"/>
      <w:r w:rsidRPr="00B253A0">
        <w:rPr>
          <w:sz w:val="20"/>
        </w:rPr>
        <w:t>Mathare</w:t>
      </w:r>
      <w:proofErr w:type="spellEnd"/>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Pr>
          <w:sz w:val="20"/>
        </w:rPr>
        <w:tab/>
      </w:r>
      <w:r w:rsidRPr="00B253A0">
        <w:rPr>
          <w:sz w:val="20"/>
        </w:rPr>
        <w:t>by ____________________________</w:t>
      </w:r>
    </w:p>
    <w:p w14:paraId="720D796C" w14:textId="7B4BD267" w:rsidR="00E05222" w:rsidRPr="00B253A0" w:rsidRDefault="00E05222" w:rsidP="00E05222">
      <w:pPr>
        <w:rPr>
          <w:sz w:val="20"/>
        </w:rPr>
      </w:pP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Pr="00B253A0">
        <w:rPr>
          <w:sz w:val="20"/>
        </w:rPr>
        <w:tab/>
      </w:r>
      <w:r w:rsidR="00B253A0" w:rsidRPr="00B253A0">
        <w:rPr>
          <w:sz w:val="20"/>
        </w:rPr>
        <w:tab/>
      </w:r>
      <w:r w:rsidRPr="00B253A0">
        <w:rPr>
          <w:sz w:val="20"/>
        </w:rPr>
        <w:t>Chairperson</w:t>
      </w:r>
    </w:p>
    <w:p w14:paraId="301B105B" w14:textId="77777777" w:rsidR="00CF56A5" w:rsidRPr="00B253A0" w:rsidRDefault="00CF56A5">
      <w:pPr>
        <w:rPr>
          <w:sz w:val="20"/>
        </w:rPr>
      </w:pPr>
      <w:r w:rsidRPr="00B253A0">
        <w:rPr>
          <w:sz w:val="20"/>
        </w:rPr>
        <w:br w:type="page"/>
      </w:r>
    </w:p>
    <w:p w14:paraId="1D652B29" w14:textId="77777777" w:rsidR="005754BA" w:rsidRDefault="005754BA">
      <w:pPr>
        <w:sectPr w:rsidR="005754BA" w:rsidSect="0049326F">
          <w:footerReference w:type="default" r:id="rId17"/>
          <w:pgSz w:w="11900" w:h="16840"/>
          <w:pgMar w:top="1440" w:right="1800" w:bottom="1440" w:left="1800" w:header="708" w:footer="708" w:gutter="0"/>
          <w:pgNumType w:start="1"/>
          <w:cols w:space="708"/>
          <w:docGrid w:linePitch="360"/>
        </w:sectPr>
      </w:pPr>
    </w:p>
    <w:p w14:paraId="4D357CC4" w14:textId="77777777" w:rsidR="005754BA" w:rsidRDefault="005754BA" w:rsidP="00995100">
      <w:pPr>
        <w:pStyle w:val="Heading1"/>
      </w:pPr>
      <w:bookmarkStart w:id="21" w:name="_Toc271363676"/>
      <w:r>
        <w:lastRenderedPageBreak/>
        <w:t>Appendix 4: Example studio work plan</w:t>
      </w:r>
      <w:bookmarkEnd w:id="21"/>
    </w:p>
    <w:p w14:paraId="5C9F3197" w14:textId="77777777" w:rsidR="005754BA" w:rsidRDefault="005754BA"/>
    <w:tbl>
      <w:tblPr>
        <w:tblStyle w:val="TableGrid"/>
        <w:tblW w:w="0" w:type="auto"/>
        <w:tblLook w:val="04A0" w:firstRow="1" w:lastRow="0" w:firstColumn="1" w:lastColumn="0" w:noHBand="0" w:noVBand="1"/>
      </w:tblPr>
      <w:tblGrid>
        <w:gridCol w:w="3544"/>
        <w:gridCol w:w="3544"/>
        <w:gridCol w:w="3544"/>
        <w:gridCol w:w="3544"/>
      </w:tblGrid>
      <w:tr w:rsidR="00995100" w:rsidRPr="00995100" w14:paraId="1BD6842D" w14:textId="77777777" w:rsidTr="00995100">
        <w:tc>
          <w:tcPr>
            <w:tcW w:w="14176" w:type="dxa"/>
            <w:gridSpan w:val="4"/>
          </w:tcPr>
          <w:p w14:paraId="6C494A40" w14:textId="77777777" w:rsidR="00995100" w:rsidRPr="00995100" w:rsidRDefault="00995100" w:rsidP="00995100">
            <w:pPr>
              <w:jc w:val="center"/>
              <w:rPr>
                <w:b/>
                <w:sz w:val="19"/>
                <w:szCs w:val="19"/>
              </w:rPr>
            </w:pPr>
          </w:p>
          <w:p w14:paraId="52B26512" w14:textId="34728A4B" w:rsidR="00995100" w:rsidRPr="00995100" w:rsidRDefault="00995100" w:rsidP="00995100">
            <w:pPr>
              <w:jc w:val="center"/>
              <w:rPr>
                <w:b/>
                <w:sz w:val="19"/>
                <w:szCs w:val="19"/>
              </w:rPr>
            </w:pPr>
            <w:r w:rsidRPr="00995100">
              <w:rPr>
                <w:b/>
                <w:sz w:val="19"/>
                <w:szCs w:val="19"/>
              </w:rPr>
              <w:t>ACTION PLAN FOR IMPLEMENTATION OF THE STUDIO WORK IN DAR-ES-SALAAM, TANZANIA. BETWEEN COMMUNITY FEDERATION, LOCAL GOVERNMENT, ARDHI UNVERSITY AND CCI: 4 MARCH 2013 to 14 JUNE 2013</w:t>
            </w:r>
          </w:p>
          <w:p w14:paraId="32B66F3F" w14:textId="08562CE4" w:rsidR="00995100" w:rsidRPr="00995100" w:rsidRDefault="00995100" w:rsidP="00995100">
            <w:pPr>
              <w:jc w:val="center"/>
              <w:rPr>
                <w:sz w:val="19"/>
                <w:szCs w:val="19"/>
              </w:rPr>
            </w:pPr>
          </w:p>
        </w:tc>
      </w:tr>
      <w:tr w:rsidR="00995100" w:rsidRPr="00995100" w14:paraId="133DF478" w14:textId="77777777" w:rsidTr="00995100">
        <w:tc>
          <w:tcPr>
            <w:tcW w:w="3544" w:type="dxa"/>
          </w:tcPr>
          <w:p w14:paraId="06E62817" w14:textId="57C94E02" w:rsidR="00995100" w:rsidRPr="004D3123" w:rsidRDefault="00995100">
            <w:pPr>
              <w:rPr>
                <w:b/>
                <w:sz w:val="19"/>
                <w:szCs w:val="19"/>
              </w:rPr>
            </w:pPr>
            <w:r w:rsidRPr="004D3123">
              <w:rPr>
                <w:b/>
                <w:sz w:val="19"/>
                <w:szCs w:val="19"/>
              </w:rPr>
              <w:t>Activity</w:t>
            </w:r>
          </w:p>
        </w:tc>
        <w:tc>
          <w:tcPr>
            <w:tcW w:w="3544" w:type="dxa"/>
          </w:tcPr>
          <w:p w14:paraId="469CA06B" w14:textId="60C294D7" w:rsidR="00995100" w:rsidRPr="004D3123" w:rsidRDefault="00995100">
            <w:pPr>
              <w:rPr>
                <w:b/>
                <w:sz w:val="19"/>
                <w:szCs w:val="19"/>
              </w:rPr>
            </w:pPr>
            <w:r w:rsidRPr="004D3123">
              <w:rPr>
                <w:b/>
                <w:sz w:val="19"/>
                <w:szCs w:val="19"/>
              </w:rPr>
              <w:t>Importance/objective</w:t>
            </w:r>
          </w:p>
        </w:tc>
        <w:tc>
          <w:tcPr>
            <w:tcW w:w="3544" w:type="dxa"/>
          </w:tcPr>
          <w:p w14:paraId="01C30D34" w14:textId="23D4EE73" w:rsidR="00995100" w:rsidRPr="004D3123" w:rsidRDefault="00995100">
            <w:pPr>
              <w:rPr>
                <w:b/>
                <w:sz w:val="19"/>
                <w:szCs w:val="19"/>
              </w:rPr>
            </w:pPr>
            <w:r w:rsidRPr="004D3123">
              <w:rPr>
                <w:b/>
                <w:sz w:val="19"/>
                <w:szCs w:val="19"/>
              </w:rPr>
              <w:t>When</w:t>
            </w:r>
          </w:p>
        </w:tc>
        <w:tc>
          <w:tcPr>
            <w:tcW w:w="3544" w:type="dxa"/>
          </w:tcPr>
          <w:p w14:paraId="32DE3FAF" w14:textId="3ACC6C4C" w:rsidR="00995100" w:rsidRPr="004D3123" w:rsidRDefault="00995100">
            <w:pPr>
              <w:rPr>
                <w:b/>
                <w:sz w:val="19"/>
                <w:szCs w:val="19"/>
              </w:rPr>
            </w:pPr>
            <w:r w:rsidRPr="004D3123">
              <w:rPr>
                <w:b/>
                <w:sz w:val="19"/>
                <w:szCs w:val="19"/>
              </w:rPr>
              <w:t>Output</w:t>
            </w:r>
          </w:p>
        </w:tc>
      </w:tr>
      <w:tr w:rsidR="00995100" w:rsidRPr="00995100" w14:paraId="2D3D47B9" w14:textId="77777777" w:rsidTr="00995100">
        <w:tc>
          <w:tcPr>
            <w:tcW w:w="3544" w:type="dxa"/>
          </w:tcPr>
          <w:p w14:paraId="14714A1D" w14:textId="77777777" w:rsidR="00995100" w:rsidRPr="00995100" w:rsidRDefault="00995100" w:rsidP="00995100">
            <w:pPr>
              <w:rPr>
                <w:b/>
                <w:sz w:val="19"/>
                <w:szCs w:val="19"/>
              </w:rPr>
            </w:pPr>
            <w:r w:rsidRPr="00995100">
              <w:rPr>
                <w:b/>
                <w:sz w:val="19"/>
                <w:szCs w:val="19"/>
              </w:rPr>
              <w:t>1. Launch of the studio work</w:t>
            </w:r>
          </w:p>
          <w:p w14:paraId="59350982" w14:textId="77777777" w:rsidR="00995100" w:rsidRPr="00995100" w:rsidRDefault="00995100" w:rsidP="00995100">
            <w:pPr>
              <w:rPr>
                <w:sz w:val="19"/>
                <w:szCs w:val="19"/>
              </w:rPr>
            </w:pPr>
            <w:r w:rsidRPr="00995100">
              <w:rPr>
                <w:sz w:val="19"/>
                <w:szCs w:val="19"/>
              </w:rPr>
              <w:t xml:space="preserve">- Orientation </w:t>
            </w:r>
          </w:p>
          <w:p w14:paraId="62BAAB4C" w14:textId="77777777" w:rsidR="00995100" w:rsidRPr="00995100" w:rsidRDefault="00995100" w:rsidP="00995100">
            <w:pPr>
              <w:rPr>
                <w:sz w:val="19"/>
                <w:szCs w:val="19"/>
              </w:rPr>
            </w:pPr>
            <w:r w:rsidRPr="00995100">
              <w:rPr>
                <w:sz w:val="19"/>
                <w:szCs w:val="19"/>
              </w:rPr>
              <w:t xml:space="preserve">- Assessment of existing data </w:t>
            </w:r>
          </w:p>
          <w:p w14:paraId="2E4A721B" w14:textId="77777777" w:rsidR="00995100" w:rsidRPr="00995100" w:rsidRDefault="00995100" w:rsidP="00995100">
            <w:pPr>
              <w:rPr>
                <w:sz w:val="19"/>
                <w:szCs w:val="19"/>
              </w:rPr>
            </w:pPr>
            <w:r w:rsidRPr="00995100">
              <w:rPr>
                <w:sz w:val="19"/>
                <w:szCs w:val="19"/>
              </w:rPr>
              <w:t>- Agree on focus, approach and work plan</w:t>
            </w:r>
          </w:p>
          <w:p w14:paraId="4AD86C8B" w14:textId="79083412" w:rsidR="00995100" w:rsidRPr="00995100" w:rsidRDefault="00995100" w:rsidP="00995100">
            <w:pPr>
              <w:rPr>
                <w:sz w:val="19"/>
                <w:szCs w:val="19"/>
              </w:rPr>
            </w:pPr>
            <w:r w:rsidRPr="00995100">
              <w:rPr>
                <w:sz w:val="19"/>
                <w:szCs w:val="19"/>
              </w:rPr>
              <w:t>- Tools and equipment for data collection, mapping</w:t>
            </w:r>
          </w:p>
        </w:tc>
        <w:tc>
          <w:tcPr>
            <w:tcW w:w="3544" w:type="dxa"/>
          </w:tcPr>
          <w:p w14:paraId="365D5C58" w14:textId="77777777" w:rsidR="00995100" w:rsidRPr="00995100" w:rsidRDefault="00995100" w:rsidP="00995100">
            <w:pPr>
              <w:numPr>
                <w:ilvl w:val="0"/>
                <w:numId w:val="32"/>
              </w:numPr>
              <w:rPr>
                <w:sz w:val="19"/>
                <w:szCs w:val="19"/>
              </w:rPr>
            </w:pPr>
            <w:r w:rsidRPr="00995100">
              <w:rPr>
                <w:sz w:val="19"/>
                <w:szCs w:val="19"/>
              </w:rPr>
              <w:t>Understanding of community/ university studios</w:t>
            </w:r>
          </w:p>
          <w:p w14:paraId="36AC6EFD" w14:textId="77777777" w:rsidR="00995100" w:rsidRPr="00995100" w:rsidRDefault="00995100" w:rsidP="00995100">
            <w:pPr>
              <w:numPr>
                <w:ilvl w:val="0"/>
                <w:numId w:val="32"/>
              </w:numPr>
              <w:rPr>
                <w:sz w:val="19"/>
                <w:szCs w:val="19"/>
              </w:rPr>
            </w:pPr>
            <w:r w:rsidRPr="00995100">
              <w:rPr>
                <w:sz w:val="19"/>
                <w:szCs w:val="19"/>
              </w:rPr>
              <w:t>Identify the focus of the studio</w:t>
            </w:r>
          </w:p>
          <w:p w14:paraId="6BC8FF3D" w14:textId="6E512108" w:rsidR="00995100" w:rsidRPr="00995100" w:rsidRDefault="00995100" w:rsidP="00995100">
            <w:pPr>
              <w:numPr>
                <w:ilvl w:val="0"/>
                <w:numId w:val="32"/>
              </w:numPr>
              <w:rPr>
                <w:sz w:val="19"/>
                <w:szCs w:val="19"/>
              </w:rPr>
            </w:pPr>
            <w:r w:rsidRPr="00995100">
              <w:rPr>
                <w:sz w:val="19"/>
                <w:szCs w:val="19"/>
              </w:rPr>
              <w:t>Balancing expectations between the university and community federations on the output of the studio</w:t>
            </w:r>
          </w:p>
        </w:tc>
        <w:tc>
          <w:tcPr>
            <w:tcW w:w="3544" w:type="dxa"/>
          </w:tcPr>
          <w:p w14:paraId="18F4B2D6" w14:textId="143F2DFB" w:rsidR="00995100" w:rsidRPr="00995100" w:rsidRDefault="00995100" w:rsidP="00995100">
            <w:pPr>
              <w:rPr>
                <w:sz w:val="19"/>
                <w:szCs w:val="19"/>
              </w:rPr>
            </w:pPr>
            <w:r w:rsidRPr="00995100">
              <w:rPr>
                <w:sz w:val="19"/>
                <w:szCs w:val="19"/>
              </w:rPr>
              <w:t>To be agreed (1</w:t>
            </w:r>
            <w:r w:rsidRPr="00995100">
              <w:rPr>
                <w:sz w:val="19"/>
                <w:szCs w:val="19"/>
                <w:vertAlign w:val="superscript"/>
              </w:rPr>
              <w:t>st</w:t>
            </w:r>
            <w:r w:rsidRPr="00995100">
              <w:rPr>
                <w:sz w:val="19"/>
                <w:szCs w:val="19"/>
              </w:rPr>
              <w:t xml:space="preserve"> week)</w:t>
            </w:r>
          </w:p>
        </w:tc>
        <w:tc>
          <w:tcPr>
            <w:tcW w:w="3544" w:type="dxa"/>
          </w:tcPr>
          <w:p w14:paraId="13A34F90" w14:textId="77777777" w:rsidR="00995100" w:rsidRPr="00995100" w:rsidRDefault="00995100" w:rsidP="00995100">
            <w:pPr>
              <w:numPr>
                <w:ilvl w:val="0"/>
                <w:numId w:val="7"/>
              </w:numPr>
              <w:rPr>
                <w:sz w:val="19"/>
                <w:szCs w:val="19"/>
              </w:rPr>
            </w:pPr>
            <w:r w:rsidRPr="00995100">
              <w:rPr>
                <w:sz w:val="19"/>
                <w:szCs w:val="19"/>
              </w:rPr>
              <w:t>Introduction to studio for community members and university students</w:t>
            </w:r>
          </w:p>
          <w:p w14:paraId="7B301529" w14:textId="77777777" w:rsidR="00995100" w:rsidRPr="00995100" w:rsidRDefault="00995100" w:rsidP="00995100">
            <w:pPr>
              <w:numPr>
                <w:ilvl w:val="0"/>
                <w:numId w:val="7"/>
              </w:numPr>
              <w:rPr>
                <w:sz w:val="19"/>
                <w:szCs w:val="19"/>
              </w:rPr>
            </w:pPr>
            <w:r w:rsidRPr="00995100">
              <w:rPr>
                <w:sz w:val="19"/>
                <w:szCs w:val="19"/>
              </w:rPr>
              <w:t>Structure of the studio</w:t>
            </w:r>
          </w:p>
          <w:p w14:paraId="7A8BBB0F" w14:textId="77777777" w:rsidR="00995100" w:rsidRPr="00995100" w:rsidRDefault="00995100" w:rsidP="00995100">
            <w:pPr>
              <w:numPr>
                <w:ilvl w:val="0"/>
                <w:numId w:val="7"/>
              </w:numPr>
              <w:rPr>
                <w:sz w:val="19"/>
                <w:szCs w:val="19"/>
              </w:rPr>
            </w:pPr>
            <w:r w:rsidRPr="00995100">
              <w:rPr>
                <w:sz w:val="19"/>
                <w:szCs w:val="19"/>
              </w:rPr>
              <w:t>Develop the theme of the studio</w:t>
            </w:r>
          </w:p>
          <w:p w14:paraId="7E7D6FF7" w14:textId="5D941626" w:rsidR="00995100" w:rsidRPr="00995100" w:rsidRDefault="00995100" w:rsidP="00995100">
            <w:pPr>
              <w:numPr>
                <w:ilvl w:val="0"/>
                <w:numId w:val="7"/>
              </w:numPr>
              <w:rPr>
                <w:sz w:val="19"/>
                <w:szCs w:val="19"/>
              </w:rPr>
            </w:pPr>
            <w:r w:rsidRPr="00995100">
              <w:rPr>
                <w:sz w:val="19"/>
                <w:szCs w:val="19"/>
              </w:rPr>
              <w:t>Develop working teams</w:t>
            </w:r>
          </w:p>
        </w:tc>
      </w:tr>
      <w:tr w:rsidR="00995100" w:rsidRPr="00995100" w14:paraId="2757E643" w14:textId="77777777" w:rsidTr="00995100">
        <w:tc>
          <w:tcPr>
            <w:tcW w:w="3544" w:type="dxa"/>
          </w:tcPr>
          <w:p w14:paraId="22F55AC0" w14:textId="61B4EEF7" w:rsidR="00995100" w:rsidRPr="00995100" w:rsidRDefault="00995100" w:rsidP="00995100">
            <w:pPr>
              <w:rPr>
                <w:sz w:val="19"/>
                <w:szCs w:val="19"/>
              </w:rPr>
            </w:pPr>
            <w:r w:rsidRPr="00995100">
              <w:rPr>
                <w:b/>
                <w:sz w:val="19"/>
                <w:szCs w:val="19"/>
              </w:rPr>
              <w:t>2. Enumeration and mapping of the settlement</w:t>
            </w:r>
          </w:p>
        </w:tc>
        <w:tc>
          <w:tcPr>
            <w:tcW w:w="3544" w:type="dxa"/>
          </w:tcPr>
          <w:p w14:paraId="39A749B9" w14:textId="4511BE31" w:rsidR="00995100" w:rsidRPr="00995100" w:rsidRDefault="00995100" w:rsidP="00995100">
            <w:pPr>
              <w:rPr>
                <w:sz w:val="19"/>
                <w:szCs w:val="19"/>
              </w:rPr>
            </w:pPr>
            <w:r w:rsidRPr="00995100">
              <w:rPr>
                <w:sz w:val="19"/>
                <w:szCs w:val="19"/>
              </w:rPr>
              <w:t>Students and community collectively understand the essence of data collection</w:t>
            </w:r>
          </w:p>
        </w:tc>
        <w:tc>
          <w:tcPr>
            <w:tcW w:w="3544" w:type="dxa"/>
          </w:tcPr>
          <w:p w14:paraId="61C40D1B" w14:textId="12C127E4" w:rsidR="00995100" w:rsidRPr="00995100" w:rsidRDefault="00995100" w:rsidP="00995100">
            <w:pPr>
              <w:rPr>
                <w:sz w:val="19"/>
                <w:szCs w:val="19"/>
              </w:rPr>
            </w:pPr>
            <w:r w:rsidRPr="00995100">
              <w:rPr>
                <w:sz w:val="19"/>
                <w:szCs w:val="19"/>
              </w:rPr>
              <w:t>To be agreed (2</w:t>
            </w:r>
            <w:r w:rsidRPr="00995100">
              <w:rPr>
                <w:sz w:val="19"/>
                <w:szCs w:val="19"/>
                <w:vertAlign w:val="superscript"/>
              </w:rPr>
              <w:t>nd</w:t>
            </w:r>
            <w:r w:rsidRPr="00995100">
              <w:rPr>
                <w:sz w:val="19"/>
                <w:szCs w:val="19"/>
              </w:rPr>
              <w:t xml:space="preserve"> week)</w:t>
            </w:r>
          </w:p>
        </w:tc>
        <w:tc>
          <w:tcPr>
            <w:tcW w:w="3544" w:type="dxa"/>
          </w:tcPr>
          <w:p w14:paraId="3937A8EA" w14:textId="6F7CF8BC" w:rsidR="00995100" w:rsidRPr="00995100" w:rsidRDefault="00995100" w:rsidP="00995100">
            <w:pPr>
              <w:rPr>
                <w:sz w:val="19"/>
                <w:szCs w:val="19"/>
              </w:rPr>
            </w:pPr>
            <w:r w:rsidRPr="00995100">
              <w:rPr>
                <w:sz w:val="19"/>
                <w:szCs w:val="19"/>
              </w:rPr>
              <w:t>Data collection on infrastructure and environmental aspects are collected</w:t>
            </w:r>
          </w:p>
        </w:tc>
      </w:tr>
      <w:tr w:rsidR="00995100" w:rsidRPr="00995100" w14:paraId="73C7A581" w14:textId="77777777" w:rsidTr="00995100">
        <w:tc>
          <w:tcPr>
            <w:tcW w:w="3544" w:type="dxa"/>
          </w:tcPr>
          <w:p w14:paraId="7229563A" w14:textId="0705255C" w:rsidR="00995100" w:rsidRPr="00995100" w:rsidRDefault="00995100" w:rsidP="00995100">
            <w:pPr>
              <w:rPr>
                <w:sz w:val="19"/>
                <w:szCs w:val="19"/>
              </w:rPr>
            </w:pPr>
            <w:r w:rsidRPr="00995100">
              <w:rPr>
                <w:b/>
                <w:sz w:val="19"/>
                <w:szCs w:val="19"/>
              </w:rPr>
              <w:t>3. Situational analysis</w:t>
            </w:r>
          </w:p>
        </w:tc>
        <w:tc>
          <w:tcPr>
            <w:tcW w:w="3544" w:type="dxa"/>
          </w:tcPr>
          <w:p w14:paraId="36DDF09F" w14:textId="54BA371D" w:rsidR="00995100" w:rsidRPr="00995100" w:rsidRDefault="00995100" w:rsidP="00995100">
            <w:pPr>
              <w:rPr>
                <w:sz w:val="19"/>
                <w:szCs w:val="19"/>
              </w:rPr>
            </w:pPr>
            <w:r w:rsidRPr="00995100">
              <w:rPr>
                <w:sz w:val="19"/>
                <w:szCs w:val="19"/>
              </w:rPr>
              <w:t>Analysis of key challenges affecting the community and discussions on feasible solutions</w:t>
            </w:r>
          </w:p>
        </w:tc>
        <w:tc>
          <w:tcPr>
            <w:tcW w:w="3544" w:type="dxa"/>
          </w:tcPr>
          <w:p w14:paraId="7B64DFD8" w14:textId="17241A51" w:rsidR="00995100" w:rsidRPr="00995100" w:rsidRDefault="00995100" w:rsidP="00995100">
            <w:pPr>
              <w:rPr>
                <w:sz w:val="19"/>
                <w:szCs w:val="19"/>
              </w:rPr>
            </w:pPr>
            <w:r w:rsidRPr="00995100">
              <w:rPr>
                <w:sz w:val="19"/>
                <w:szCs w:val="19"/>
              </w:rPr>
              <w:t>To be agreed</w:t>
            </w:r>
          </w:p>
        </w:tc>
        <w:tc>
          <w:tcPr>
            <w:tcW w:w="3544" w:type="dxa"/>
          </w:tcPr>
          <w:p w14:paraId="67EC6ABC" w14:textId="285F2927" w:rsidR="00995100" w:rsidRPr="00995100" w:rsidRDefault="00995100" w:rsidP="00995100">
            <w:pPr>
              <w:rPr>
                <w:sz w:val="19"/>
                <w:szCs w:val="19"/>
              </w:rPr>
            </w:pPr>
            <w:r w:rsidRPr="00995100">
              <w:rPr>
                <w:sz w:val="19"/>
                <w:szCs w:val="19"/>
              </w:rPr>
              <w:t>Spatial outputs and reports on the situational analysis</w:t>
            </w:r>
          </w:p>
        </w:tc>
      </w:tr>
      <w:tr w:rsidR="00995100" w:rsidRPr="00995100" w14:paraId="6307C523" w14:textId="77777777" w:rsidTr="00995100">
        <w:tc>
          <w:tcPr>
            <w:tcW w:w="3544" w:type="dxa"/>
          </w:tcPr>
          <w:p w14:paraId="4D2545B1" w14:textId="5F4333B3" w:rsidR="00995100" w:rsidRPr="00995100" w:rsidRDefault="00995100" w:rsidP="00995100">
            <w:pPr>
              <w:rPr>
                <w:sz w:val="19"/>
                <w:szCs w:val="19"/>
              </w:rPr>
            </w:pPr>
            <w:r w:rsidRPr="00995100">
              <w:rPr>
                <w:b/>
                <w:sz w:val="19"/>
                <w:szCs w:val="19"/>
              </w:rPr>
              <w:t>4. Presentations of the situational</w:t>
            </w:r>
            <w:r w:rsidRPr="00995100">
              <w:rPr>
                <w:sz w:val="19"/>
                <w:szCs w:val="19"/>
              </w:rPr>
              <w:t xml:space="preserve"> </w:t>
            </w:r>
            <w:r w:rsidRPr="00995100">
              <w:rPr>
                <w:b/>
                <w:sz w:val="19"/>
                <w:szCs w:val="19"/>
              </w:rPr>
              <w:t>analysis to the community</w:t>
            </w:r>
          </w:p>
        </w:tc>
        <w:tc>
          <w:tcPr>
            <w:tcW w:w="3544" w:type="dxa"/>
          </w:tcPr>
          <w:p w14:paraId="29EF6CA5" w14:textId="06E14129" w:rsidR="00995100" w:rsidRPr="00995100" w:rsidRDefault="00995100" w:rsidP="00995100">
            <w:pPr>
              <w:rPr>
                <w:sz w:val="19"/>
                <w:szCs w:val="19"/>
              </w:rPr>
            </w:pPr>
            <w:r w:rsidRPr="00995100">
              <w:rPr>
                <w:sz w:val="19"/>
                <w:szCs w:val="19"/>
              </w:rPr>
              <w:t>Community to feedback on the situational analysis</w:t>
            </w:r>
          </w:p>
        </w:tc>
        <w:tc>
          <w:tcPr>
            <w:tcW w:w="3544" w:type="dxa"/>
          </w:tcPr>
          <w:p w14:paraId="6127CB82" w14:textId="5F1249A6" w:rsidR="00995100" w:rsidRPr="00995100" w:rsidRDefault="00995100" w:rsidP="00995100">
            <w:pPr>
              <w:rPr>
                <w:sz w:val="19"/>
                <w:szCs w:val="19"/>
              </w:rPr>
            </w:pPr>
            <w:r w:rsidRPr="00995100">
              <w:rPr>
                <w:sz w:val="19"/>
                <w:szCs w:val="19"/>
              </w:rPr>
              <w:t>To be agreed</w:t>
            </w:r>
          </w:p>
        </w:tc>
        <w:tc>
          <w:tcPr>
            <w:tcW w:w="3544" w:type="dxa"/>
          </w:tcPr>
          <w:p w14:paraId="65BA8386" w14:textId="77777777" w:rsidR="00995100" w:rsidRPr="00995100" w:rsidRDefault="00995100" w:rsidP="00995100">
            <w:pPr>
              <w:rPr>
                <w:sz w:val="19"/>
                <w:szCs w:val="19"/>
              </w:rPr>
            </w:pPr>
            <w:r w:rsidRPr="00995100">
              <w:rPr>
                <w:sz w:val="19"/>
                <w:szCs w:val="19"/>
              </w:rPr>
              <w:t>Present the situational analysis to community, including maps, charts and tables</w:t>
            </w:r>
          </w:p>
          <w:p w14:paraId="4EB724B3" w14:textId="77777777" w:rsidR="00995100" w:rsidRPr="00995100" w:rsidRDefault="00995100" w:rsidP="00995100">
            <w:pPr>
              <w:rPr>
                <w:sz w:val="19"/>
                <w:szCs w:val="19"/>
              </w:rPr>
            </w:pPr>
          </w:p>
        </w:tc>
      </w:tr>
      <w:tr w:rsidR="00995100" w:rsidRPr="00995100" w14:paraId="50D57032" w14:textId="77777777" w:rsidTr="00995100">
        <w:tc>
          <w:tcPr>
            <w:tcW w:w="3544" w:type="dxa"/>
          </w:tcPr>
          <w:p w14:paraId="3C22AEF3" w14:textId="6D165443" w:rsidR="00995100" w:rsidRPr="00995100" w:rsidRDefault="00995100" w:rsidP="00995100">
            <w:pPr>
              <w:rPr>
                <w:sz w:val="19"/>
                <w:szCs w:val="19"/>
              </w:rPr>
            </w:pPr>
            <w:r w:rsidRPr="00995100">
              <w:rPr>
                <w:b/>
                <w:sz w:val="19"/>
                <w:szCs w:val="19"/>
              </w:rPr>
              <w:t>5. Developing proposals with community on the feasible interventions</w:t>
            </w:r>
          </w:p>
        </w:tc>
        <w:tc>
          <w:tcPr>
            <w:tcW w:w="3544" w:type="dxa"/>
          </w:tcPr>
          <w:p w14:paraId="199E74F3" w14:textId="0A8D6B69" w:rsidR="00995100" w:rsidRPr="00995100" w:rsidRDefault="00995100" w:rsidP="00995100">
            <w:pPr>
              <w:rPr>
                <w:sz w:val="19"/>
                <w:szCs w:val="19"/>
              </w:rPr>
            </w:pPr>
            <w:r w:rsidRPr="00995100">
              <w:rPr>
                <w:sz w:val="19"/>
                <w:szCs w:val="19"/>
              </w:rPr>
              <w:t>Both students and community work together to develop plans for interventions. Students to provide theoretical knowledge and community to provide practical knowledge.</w:t>
            </w:r>
          </w:p>
        </w:tc>
        <w:tc>
          <w:tcPr>
            <w:tcW w:w="3544" w:type="dxa"/>
          </w:tcPr>
          <w:p w14:paraId="5BA0564C" w14:textId="77777777" w:rsidR="00995100" w:rsidRPr="00995100" w:rsidRDefault="00995100" w:rsidP="00995100">
            <w:pPr>
              <w:rPr>
                <w:sz w:val="19"/>
                <w:szCs w:val="19"/>
              </w:rPr>
            </w:pPr>
            <w:r w:rsidRPr="00995100">
              <w:rPr>
                <w:sz w:val="19"/>
                <w:szCs w:val="19"/>
              </w:rPr>
              <w:t>To be agreed</w:t>
            </w:r>
          </w:p>
          <w:p w14:paraId="6EF94B7E" w14:textId="77777777" w:rsidR="00995100" w:rsidRPr="00995100" w:rsidRDefault="00995100" w:rsidP="00995100">
            <w:pPr>
              <w:rPr>
                <w:sz w:val="19"/>
                <w:szCs w:val="19"/>
              </w:rPr>
            </w:pPr>
          </w:p>
        </w:tc>
        <w:tc>
          <w:tcPr>
            <w:tcW w:w="3544" w:type="dxa"/>
          </w:tcPr>
          <w:p w14:paraId="6CD209F8" w14:textId="3F549B06" w:rsidR="00995100" w:rsidRPr="00995100" w:rsidRDefault="00995100" w:rsidP="00995100">
            <w:pPr>
              <w:rPr>
                <w:sz w:val="19"/>
                <w:szCs w:val="19"/>
              </w:rPr>
            </w:pPr>
            <w:r w:rsidRPr="00995100">
              <w:rPr>
                <w:sz w:val="19"/>
                <w:szCs w:val="19"/>
              </w:rPr>
              <w:t>Upgrading options</w:t>
            </w:r>
          </w:p>
        </w:tc>
      </w:tr>
      <w:tr w:rsidR="00995100" w:rsidRPr="00995100" w14:paraId="4DC3C89C" w14:textId="77777777" w:rsidTr="00995100">
        <w:tc>
          <w:tcPr>
            <w:tcW w:w="3544" w:type="dxa"/>
          </w:tcPr>
          <w:p w14:paraId="273E06CE" w14:textId="4CAC8BE0" w:rsidR="00995100" w:rsidRPr="00995100" w:rsidRDefault="00995100" w:rsidP="00995100">
            <w:pPr>
              <w:rPr>
                <w:sz w:val="19"/>
                <w:szCs w:val="19"/>
              </w:rPr>
            </w:pPr>
            <w:r w:rsidRPr="00995100">
              <w:rPr>
                <w:b/>
                <w:sz w:val="19"/>
                <w:szCs w:val="19"/>
              </w:rPr>
              <w:t>6. Presentation of proposals to communities</w:t>
            </w:r>
          </w:p>
        </w:tc>
        <w:tc>
          <w:tcPr>
            <w:tcW w:w="3544" w:type="dxa"/>
          </w:tcPr>
          <w:p w14:paraId="1197E21C" w14:textId="6E5E4062" w:rsidR="00995100" w:rsidRPr="00995100" w:rsidRDefault="00995100" w:rsidP="00995100">
            <w:pPr>
              <w:rPr>
                <w:sz w:val="19"/>
                <w:szCs w:val="19"/>
              </w:rPr>
            </w:pPr>
            <w:r w:rsidRPr="00995100">
              <w:rPr>
                <w:sz w:val="19"/>
                <w:szCs w:val="19"/>
              </w:rPr>
              <w:t xml:space="preserve">Obtain comments from communities </w:t>
            </w:r>
          </w:p>
        </w:tc>
        <w:tc>
          <w:tcPr>
            <w:tcW w:w="3544" w:type="dxa"/>
          </w:tcPr>
          <w:p w14:paraId="0AC9F469" w14:textId="311B7827" w:rsidR="00995100" w:rsidRPr="00995100" w:rsidRDefault="00995100" w:rsidP="00995100">
            <w:pPr>
              <w:rPr>
                <w:sz w:val="19"/>
                <w:szCs w:val="19"/>
              </w:rPr>
            </w:pPr>
            <w:r w:rsidRPr="00995100">
              <w:rPr>
                <w:sz w:val="19"/>
                <w:szCs w:val="19"/>
              </w:rPr>
              <w:t>To be agreed</w:t>
            </w:r>
          </w:p>
        </w:tc>
        <w:tc>
          <w:tcPr>
            <w:tcW w:w="3544" w:type="dxa"/>
          </w:tcPr>
          <w:p w14:paraId="00B22861" w14:textId="2BCC0BE0" w:rsidR="00995100" w:rsidRPr="00995100" w:rsidRDefault="00995100" w:rsidP="00995100">
            <w:pPr>
              <w:rPr>
                <w:sz w:val="19"/>
                <w:szCs w:val="19"/>
              </w:rPr>
            </w:pPr>
            <w:r w:rsidRPr="00995100">
              <w:rPr>
                <w:sz w:val="19"/>
                <w:szCs w:val="19"/>
              </w:rPr>
              <w:t>Community and students present proposed interventions</w:t>
            </w:r>
          </w:p>
        </w:tc>
      </w:tr>
      <w:tr w:rsidR="00995100" w:rsidRPr="00995100" w14:paraId="555FD05C" w14:textId="77777777" w:rsidTr="00995100">
        <w:tc>
          <w:tcPr>
            <w:tcW w:w="3544" w:type="dxa"/>
          </w:tcPr>
          <w:p w14:paraId="6AF3EB6D" w14:textId="7C45A904" w:rsidR="00995100" w:rsidRPr="00995100" w:rsidRDefault="00995100" w:rsidP="00995100">
            <w:pPr>
              <w:rPr>
                <w:sz w:val="19"/>
                <w:szCs w:val="19"/>
              </w:rPr>
            </w:pPr>
            <w:r w:rsidRPr="00995100">
              <w:rPr>
                <w:b/>
                <w:sz w:val="19"/>
                <w:szCs w:val="19"/>
              </w:rPr>
              <w:t>7. Further refinement of proposals</w:t>
            </w:r>
          </w:p>
        </w:tc>
        <w:tc>
          <w:tcPr>
            <w:tcW w:w="3544" w:type="dxa"/>
          </w:tcPr>
          <w:p w14:paraId="2A9BA956" w14:textId="30D8D402" w:rsidR="00995100" w:rsidRPr="00995100" w:rsidRDefault="00995100" w:rsidP="00995100">
            <w:pPr>
              <w:rPr>
                <w:sz w:val="19"/>
                <w:szCs w:val="19"/>
              </w:rPr>
            </w:pPr>
            <w:r w:rsidRPr="00995100">
              <w:rPr>
                <w:sz w:val="19"/>
                <w:szCs w:val="19"/>
              </w:rPr>
              <w:t>A refined document</w:t>
            </w:r>
          </w:p>
        </w:tc>
        <w:tc>
          <w:tcPr>
            <w:tcW w:w="3544" w:type="dxa"/>
          </w:tcPr>
          <w:p w14:paraId="30BC2215" w14:textId="05DD4225" w:rsidR="00995100" w:rsidRPr="00995100" w:rsidRDefault="00995100" w:rsidP="00995100">
            <w:pPr>
              <w:rPr>
                <w:sz w:val="19"/>
                <w:szCs w:val="19"/>
              </w:rPr>
            </w:pPr>
            <w:r w:rsidRPr="00995100">
              <w:rPr>
                <w:sz w:val="19"/>
                <w:szCs w:val="19"/>
              </w:rPr>
              <w:t>To be agreed</w:t>
            </w:r>
          </w:p>
        </w:tc>
        <w:tc>
          <w:tcPr>
            <w:tcW w:w="3544" w:type="dxa"/>
          </w:tcPr>
          <w:p w14:paraId="3C74514D" w14:textId="4DF049EB" w:rsidR="00995100" w:rsidRPr="00995100" w:rsidRDefault="00995100" w:rsidP="00995100">
            <w:pPr>
              <w:rPr>
                <w:sz w:val="19"/>
                <w:szCs w:val="19"/>
              </w:rPr>
            </w:pPr>
            <w:r w:rsidRPr="00995100">
              <w:rPr>
                <w:sz w:val="19"/>
                <w:szCs w:val="19"/>
              </w:rPr>
              <w:t>A ‘way forward’ action plan</w:t>
            </w:r>
          </w:p>
        </w:tc>
      </w:tr>
    </w:tbl>
    <w:p w14:paraId="0FA4683A" w14:textId="18003FE0" w:rsidR="005754BA" w:rsidRDefault="005754BA">
      <w:r>
        <w:br w:type="page"/>
      </w:r>
    </w:p>
    <w:p w14:paraId="1BAF1980" w14:textId="77777777" w:rsidR="00CF56A5" w:rsidRDefault="00CF56A5" w:rsidP="006314EF">
      <w:pPr>
        <w:sectPr w:rsidR="00CF56A5" w:rsidSect="005754BA">
          <w:pgSz w:w="16840" w:h="11901" w:orient="landscape"/>
          <w:pgMar w:top="1797" w:right="1440" w:bottom="1797" w:left="1440" w:header="708" w:footer="708" w:gutter="0"/>
          <w:pgNumType w:start="1"/>
          <w:cols w:space="708"/>
          <w:docGrid w:linePitch="360"/>
        </w:sectPr>
      </w:pPr>
    </w:p>
    <w:p w14:paraId="1C4F4175" w14:textId="5CDAB48A" w:rsidR="00D651E9" w:rsidRDefault="00CF56A5" w:rsidP="00CF56A5">
      <w:pPr>
        <w:pStyle w:val="Heading1"/>
      </w:pPr>
      <w:bookmarkStart w:id="22" w:name="_Toc271363677"/>
      <w:r>
        <w:lastRenderedPageBreak/>
        <w:t xml:space="preserve">Appendix </w:t>
      </w:r>
      <w:r w:rsidR="005754BA">
        <w:t>5</w:t>
      </w:r>
      <w:r>
        <w:t xml:space="preserve">: </w:t>
      </w:r>
      <w:r w:rsidRPr="00CF56A5">
        <w:t>Descr</w:t>
      </w:r>
      <w:bookmarkStart w:id="23" w:name="_GoBack"/>
      <w:bookmarkEnd w:id="23"/>
      <w:r w:rsidRPr="00CF56A5">
        <w:t>iption of enumeration pro</w:t>
      </w:r>
      <w:r>
        <w:t xml:space="preserve">cess </w:t>
      </w:r>
      <w:r w:rsidR="00B253A0">
        <w:t>for</w:t>
      </w:r>
      <w:r>
        <w:t xml:space="preserve"> U</w:t>
      </w:r>
      <w:r w:rsidRPr="00CF56A5">
        <w:t>ganda studio</w:t>
      </w:r>
      <w:bookmarkEnd w:id="22"/>
    </w:p>
    <w:p w14:paraId="194F31ED" w14:textId="77777777" w:rsidR="00CF56A5" w:rsidRDefault="00CF56A5" w:rsidP="006314EF"/>
    <w:tbl>
      <w:tblPr>
        <w:tblStyle w:val="TableGrid"/>
        <w:tblW w:w="0" w:type="auto"/>
        <w:tblLook w:val="04A0" w:firstRow="1" w:lastRow="0" w:firstColumn="1" w:lastColumn="0" w:noHBand="0" w:noVBand="1"/>
      </w:tblPr>
      <w:tblGrid>
        <w:gridCol w:w="2374"/>
        <w:gridCol w:w="3962"/>
        <w:gridCol w:w="4627"/>
        <w:gridCol w:w="3213"/>
      </w:tblGrid>
      <w:tr w:rsidR="00CF56A5" w:rsidRPr="00CF56A5" w14:paraId="64CD85E2" w14:textId="77777777" w:rsidTr="00E05222">
        <w:trPr>
          <w:tblHeader/>
        </w:trPr>
        <w:tc>
          <w:tcPr>
            <w:tcW w:w="0" w:type="auto"/>
          </w:tcPr>
          <w:p w14:paraId="5AF168AB" w14:textId="77777777" w:rsidR="00CF56A5" w:rsidRPr="00CF56A5" w:rsidRDefault="00CF56A5" w:rsidP="00E05222">
            <w:pPr>
              <w:rPr>
                <w:b/>
                <w:sz w:val="18"/>
              </w:rPr>
            </w:pPr>
            <w:r w:rsidRPr="00CF56A5">
              <w:rPr>
                <w:b/>
                <w:sz w:val="18"/>
              </w:rPr>
              <w:t>Stage of enumeration process</w:t>
            </w:r>
          </w:p>
        </w:tc>
        <w:tc>
          <w:tcPr>
            <w:tcW w:w="0" w:type="auto"/>
          </w:tcPr>
          <w:p w14:paraId="7A49422F" w14:textId="77777777" w:rsidR="00CF56A5" w:rsidRPr="00CF56A5" w:rsidRDefault="00CF56A5" w:rsidP="00E05222">
            <w:pPr>
              <w:rPr>
                <w:b/>
                <w:sz w:val="18"/>
              </w:rPr>
            </w:pPr>
            <w:r w:rsidRPr="00CF56A5">
              <w:rPr>
                <w:b/>
                <w:sz w:val="18"/>
              </w:rPr>
              <w:t>Actors/institutions</w:t>
            </w:r>
          </w:p>
        </w:tc>
        <w:tc>
          <w:tcPr>
            <w:tcW w:w="0" w:type="auto"/>
          </w:tcPr>
          <w:p w14:paraId="677CEBA6" w14:textId="77777777" w:rsidR="00CF56A5" w:rsidRPr="00CF56A5" w:rsidRDefault="00CF56A5" w:rsidP="00E05222">
            <w:pPr>
              <w:rPr>
                <w:b/>
                <w:sz w:val="18"/>
              </w:rPr>
            </w:pPr>
            <w:r w:rsidRPr="00CF56A5">
              <w:rPr>
                <w:b/>
                <w:sz w:val="18"/>
              </w:rPr>
              <w:t>Actions/techniques</w:t>
            </w:r>
          </w:p>
        </w:tc>
        <w:tc>
          <w:tcPr>
            <w:tcW w:w="0" w:type="auto"/>
          </w:tcPr>
          <w:p w14:paraId="3E6932C5" w14:textId="77777777" w:rsidR="00CF56A5" w:rsidRPr="00CF56A5" w:rsidRDefault="00CF56A5" w:rsidP="00E05222">
            <w:pPr>
              <w:rPr>
                <w:b/>
                <w:sz w:val="18"/>
              </w:rPr>
            </w:pPr>
            <w:r w:rsidRPr="00CF56A5">
              <w:rPr>
                <w:b/>
                <w:sz w:val="18"/>
              </w:rPr>
              <w:t>Objective</w:t>
            </w:r>
          </w:p>
        </w:tc>
      </w:tr>
      <w:tr w:rsidR="00CF56A5" w:rsidRPr="00CF56A5" w14:paraId="2DC2AC25" w14:textId="77777777" w:rsidTr="00E05222">
        <w:tc>
          <w:tcPr>
            <w:tcW w:w="0" w:type="auto"/>
          </w:tcPr>
          <w:p w14:paraId="3B961288" w14:textId="77777777" w:rsidR="00CF56A5" w:rsidRPr="00B253A0" w:rsidRDefault="00CF56A5" w:rsidP="00E05222">
            <w:pPr>
              <w:rPr>
                <w:i/>
                <w:sz w:val="18"/>
              </w:rPr>
            </w:pPr>
            <w:r w:rsidRPr="00B253A0">
              <w:rPr>
                <w:i/>
                <w:sz w:val="18"/>
              </w:rPr>
              <w:t>Preparatory meetings</w:t>
            </w:r>
          </w:p>
        </w:tc>
        <w:tc>
          <w:tcPr>
            <w:tcW w:w="0" w:type="auto"/>
          </w:tcPr>
          <w:p w14:paraId="0751C6AC" w14:textId="77777777" w:rsidR="00CF56A5" w:rsidRPr="00CF56A5" w:rsidRDefault="00CF56A5" w:rsidP="00E05222">
            <w:pPr>
              <w:rPr>
                <w:sz w:val="18"/>
              </w:rPr>
            </w:pPr>
            <w:r w:rsidRPr="00CF56A5">
              <w:rPr>
                <w:sz w:val="18"/>
              </w:rPr>
              <w:t>Community members, local municipal authority and local leadership</w:t>
            </w:r>
          </w:p>
        </w:tc>
        <w:tc>
          <w:tcPr>
            <w:tcW w:w="0" w:type="auto"/>
          </w:tcPr>
          <w:p w14:paraId="673F7119" w14:textId="77777777" w:rsidR="00CF56A5" w:rsidRPr="00CF56A5" w:rsidRDefault="00CF56A5" w:rsidP="00E05222">
            <w:pPr>
              <w:rPr>
                <w:sz w:val="18"/>
              </w:rPr>
            </w:pPr>
            <w:r w:rsidRPr="00CF56A5">
              <w:rPr>
                <w:sz w:val="18"/>
              </w:rPr>
              <w:t>Different meetings held at parish and division levels in the municipalities in which projects were taking place</w:t>
            </w:r>
          </w:p>
        </w:tc>
        <w:tc>
          <w:tcPr>
            <w:tcW w:w="0" w:type="auto"/>
          </w:tcPr>
          <w:p w14:paraId="07E2CA44" w14:textId="77777777" w:rsidR="00CF56A5" w:rsidRPr="00CF56A5" w:rsidRDefault="00CF56A5" w:rsidP="00CF56A5">
            <w:pPr>
              <w:pStyle w:val="ListParagraph"/>
              <w:numPr>
                <w:ilvl w:val="0"/>
                <w:numId w:val="20"/>
              </w:numPr>
              <w:rPr>
                <w:sz w:val="18"/>
              </w:rPr>
            </w:pPr>
            <w:r w:rsidRPr="00CF56A5">
              <w:rPr>
                <w:sz w:val="18"/>
              </w:rPr>
              <w:t xml:space="preserve">Identify community challenges and other issues to be included in the enumerations tool/questionnaire. </w:t>
            </w:r>
          </w:p>
          <w:p w14:paraId="227641AF" w14:textId="77777777" w:rsidR="00CF56A5" w:rsidRPr="00CF56A5" w:rsidRDefault="00CF56A5" w:rsidP="00CF56A5">
            <w:pPr>
              <w:pStyle w:val="ListParagraph"/>
              <w:numPr>
                <w:ilvl w:val="0"/>
                <w:numId w:val="20"/>
              </w:numPr>
              <w:rPr>
                <w:sz w:val="18"/>
              </w:rPr>
            </w:pPr>
            <w:r w:rsidRPr="00CF56A5">
              <w:rPr>
                <w:sz w:val="18"/>
              </w:rPr>
              <w:t>Sensitize community elders, opinion leaders and the entire community about the importance of the enumeration exercise</w:t>
            </w:r>
          </w:p>
        </w:tc>
      </w:tr>
      <w:tr w:rsidR="00CF56A5" w:rsidRPr="00CF56A5" w14:paraId="676E399E" w14:textId="77777777" w:rsidTr="00E05222">
        <w:tc>
          <w:tcPr>
            <w:tcW w:w="0" w:type="auto"/>
          </w:tcPr>
          <w:p w14:paraId="2052CB8E" w14:textId="77777777" w:rsidR="00CF56A5" w:rsidRPr="00B253A0" w:rsidRDefault="00CF56A5" w:rsidP="00E05222">
            <w:pPr>
              <w:rPr>
                <w:i/>
                <w:sz w:val="18"/>
              </w:rPr>
            </w:pPr>
            <w:r w:rsidRPr="00B253A0">
              <w:rPr>
                <w:i/>
                <w:sz w:val="18"/>
              </w:rPr>
              <w:t>Mobilization/sensitization</w:t>
            </w:r>
          </w:p>
        </w:tc>
        <w:tc>
          <w:tcPr>
            <w:tcW w:w="0" w:type="auto"/>
          </w:tcPr>
          <w:p w14:paraId="2357BE56" w14:textId="77777777" w:rsidR="00CF56A5" w:rsidRPr="00CF56A5" w:rsidRDefault="00CF56A5" w:rsidP="00E05222">
            <w:pPr>
              <w:rPr>
                <w:sz w:val="18"/>
              </w:rPr>
            </w:pPr>
            <w:r w:rsidRPr="00CF56A5">
              <w:rPr>
                <w:sz w:val="18"/>
              </w:rPr>
              <w:t>Teams of five community members, comprised of two (respected and well-known) community members and three federation members from each of the administrative zones</w:t>
            </w:r>
          </w:p>
        </w:tc>
        <w:tc>
          <w:tcPr>
            <w:tcW w:w="0" w:type="auto"/>
          </w:tcPr>
          <w:p w14:paraId="782DA21C" w14:textId="77777777" w:rsidR="00CF56A5" w:rsidRPr="00CF56A5" w:rsidRDefault="00CF56A5" w:rsidP="00E05222">
            <w:pPr>
              <w:rPr>
                <w:sz w:val="18"/>
              </w:rPr>
            </w:pPr>
            <w:r w:rsidRPr="00CF56A5">
              <w:rPr>
                <w:sz w:val="18"/>
              </w:rPr>
              <w:t>Door-to-door mobilization of community members</w:t>
            </w:r>
          </w:p>
        </w:tc>
        <w:tc>
          <w:tcPr>
            <w:tcW w:w="0" w:type="auto"/>
          </w:tcPr>
          <w:p w14:paraId="09B10735" w14:textId="77777777" w:rsidR="00CF56A5" w:rsidRPr="00CF56A5" w:rsidRDefault="00CF56A5" w:rsidP="00E05222">
            <w:pPr>
              <w:rPr>
                <w:sz w:val="18"/>
              </w:rPr>
            </w:pPr>
            <w:r w:rsidRPr="00CF56A5">
              <w:rPr>
                <w:sz w:val="18"/>
              </w:rPr>
              <w:t>Create awareness about the process and importance of the enumerations exercise</w:t>
            </w:r>
          </w:p>
        </w:tc>
      </w:tr>
      <w:tr w:rsidR="00CF56A5" w:rsidRPr="00CF56A5" w14:paraId="3F860E58" w14:textId="77777777" w:rsidTr="00E05222">
        <w:tc>
          <w:tcPr>
            <w:tcW w:w="0" w:type="auto"/>
          </w:tcPr>
          <w:p w14:paraId="0AA5598A" w14:textId="77777777" w:rsidR="00CF56A5" w:rsidRPr="00B253A0" w:rsidRDefault="00CF56A5" w:rsidP="00E05222">
            <w:pPr>
              <w:rPr>
                <w:i/>
                <w:sz w:val="18"/>
              </w:rPr>
            </w:pPr>
            <w:r w:rsidRPr="00B253A0">
              <w:rPr>
                <w:i/>
                <w:sz w:val="18"/>
              </w:rPr>
              <w:t>Training of the enumeration teams</w:t>
            </w:r>
          </w:p>
        </w:tc>
        <w:tc>
          <w:tcPr>
            <w:tcW w:w="0" w:type="auto"/>
          </w:tcPr>
          <w:p w14:paraId="0468AF45" w14:textId="77777777" w:rsidR="00CF56A5" w:rsidRPr="00CF56A5" w:rsidRDefault="00CF56A5" w:rsidP="00E05222">
            <w:pPr>
              <w:rPr>
                <w:sz w:val="18"/>
              </w:rPr>
            </w:pPr>
            <w:r w:rsidRPr="00CF56A5">
              <w:rPr>
                <w:sz w:val="18"/>
              </w:rPr>
              <w:t xml:space="preserve">Training done by federation members who had participated in previous enumeration exercises, supported by staff from </w:t>
            </w:r>
            <w:proofErr w:type="spellStart"/>
            <w:r w:rsidRPr="00CF56A5">
              <w:rPr>
                <w:sz w:val="18"/>
              </w:rPr>
              <w:t>ACTogether</w:t>
            </w:r>
            <w:proofErr w:type="spellEnd"/>
          </w:p>
        </w:tc>
        <w:tc>
          <w:tcPr>
            <w:tcW w:w="0" w:type="auto"/>
          </w:tcPr>
          <w:p w14:paraId="3F189D05" w14:textId="4C9D2C90" w:rsidR="00CF56A5" w:rsidRPr="00CF56A5" w:rsidRDefault="00CF56A5" w:rsidP="00E05222">
            <w:pPr>
              <w:rPr>
                <w:sz w:val="18"/>
              </w:rPr>
            </w:pPr>
            <w:r w:rsidRPr="00CF56A5">
              <w:rPr>
                <w:sz w:val="18"/>
              </w:rPr>
              <w:t>Training</w:t>
            </w:r>
            <w:r w:rsidR="00B253A0">
              <w:rPr>
                <w:sz w:val="18"/>
              </w:rPr>
              <w:t xml:space="preserve"> was </w:t>
            </w:r>
            <w:r w:rsidRPr="00CF56A5">
              <w:rPr>
                <w:sz w:val="18"/>
              </w:rPr>
              <w:t xml:space="preserve">done at two levels: </w:t>
            </w:r>
          </w:p>
          <w:p w14:paraId="2E4C9013" w14:textId="19D4746F" w:rsidR="00CF56A5" w:rsidRPr="00CF56A5" w:rsidRDefault="00B253A0" w:rsidP="00CF56A5">
            <w:pPr>
              <w:pStyle w:val="ListParagraph"/>
              <w:numPr>
                <w:ilvl w:val="0"/>
                <w:numId w:val="21"/>
              </w:numPr>
              <w:rPr>
                <w:sz w:val="18"/>
              </w:rPr>
            </w:pPr>
            <w:r>
              <w:rPr>
                <w:sz w:val="18"/>
              </w:rPr>
              <w:t>Organizing a w</w:t>
            </w:r>
            <w:r w:rsidR="00CF56A5" w:rsidRPr="00CF56A5">
              <w:rPr>
                <w:sz w:val="18"/>
              </w:rPr>
              <w:t xml:space="preserve">orkshop where members were guided through the interpretation of the questionnaire </w:t>
            </w:r>
          </w:p>
          <w:p w14:paraId="4A3FF8C7" w14:textId="77777777" w:rsidR="00CF56A5" w:rsidRPr="00CF56A5" w:rsidRDefault="00CF56A5" w:rsidP="00CF56A5">
            <w:pPr>
              <w:pStyle w:val="ListParagraph"/>
              <w:numPr>
                <w:ilvl w:val="0"/>
                <w:numId w:val="21"/>
              </w:numPr>
              <w:rPr>
                <w:sz w:val="18"/>
              </w:rPr>
            </w:pPr>
            <w:r w:rsidRPr="00CF56A5">
              <w:rPr>
                <w:sz w:val="18"/>
              </w:rPr>
              <w:t>Practical learning by participatory field training</w:t>
            </w:r>
          </w:p>
        </w:tc>
        <w:tc>
          <w:tcPr>
            <w:tcW w:w="0" w:type="auto"/>
          </w:tcPr>
          <w:p w14:paraId="1337B5E6" w14:textId="77777777" w:rsidR="00CF56A5" w:rsidRPr="00CF56A5" w:rsidRDefault="00CF56A5" w:rsidP="00CF56A5">
            <w:pPr>
              <w:pStyle w:val="ListParagraph"/>
              <w:numPr>
                <w:ilvl w:val="0"/>
                <w:numId w:val="21"/>
              </w:numPr>
              <w:rPr>
                <w:sz w:val="18"/>
              </w:rPr>
            </w:pPr>
            <w:r w:rsidRPr="00CF56A5">
              <w:rPr>
                <w:sz w:val="18"/>
              </w:rPr>
              <w:t>Enable community members to identify their settlement boundaries and produce settlement sketch maps</w:t>
            </w:r>
          </w:p>
          <w:p w14:paraId="5B49F698" w14:textId="77777777" w:rsidR="00CF56A5" w:rsidRPr="00CF56A5" w:rsidRDefault="00CF56A5" w:rsidP="00CF56A5">
            <w:pPr>
              <w:pStyle w:val="ListParagraph"/>
              <w:numPr>
                <w:ilvl w:val="0"/>
                <w:numId w:val="21"/>
              </w:numPr>
              <w:rPr>
                <w:sz w:val="18"/>
              </w:rPr>
            </w:pPr>
            <w:r w:rsidRPr="00CF56A5">
              <w:rPr>
                <w:sz w:val="18"/>
              </w:rPr>
              <w:t>Develop a settlement numbering system with community members to promote community ownership of the exercise</w:t>
            </w:r>
          </w:p>
        </w:tc>
      </w:tr>
      <w:tr w:rsidR="00CF56A5" w:rsidRPr="00CF56A5" w14:paraId="4A79405F" w14:textId="77777777" w:rsidTr="00E05222">
        <w:tc>
          <w:tcPr>
            <w:tcW w:w="0" w:type="auto"/>
          </w:tcPr>
          <w:p w14:paraId="14E119BE" w14:textId="77777777" w:rsidR="00CF56A5" w:rsidRPr="00B253A0" w:rsidRDefault="00CF56A5" w:rsidP="00E05222">
            <w:pPr>
              <w:rPr>
                <w:i/>
                <w:sz w:val="18"/>
              </w:rPr>
            </w:pPr>
            <w:r w:rsidRPr="00B253A0">
              <w:rPr>
                <w:i/>
                <w:sz w:val="18"/>
              </w:rPr>
              <w:t>Numbering structures in the settlement</w:t>
            </w:r>
          </w:p>
        </w:tc>
        <w:tc>
          <w:tcPr>
            <w:tcW w:w="0" w:type="auto"/>
          </w:tcPr>
          <w:p w14:paraId="1AA54459" w14:textId="0F5FD0F9" w:rsidR="00CF56A5" w:rsidRPr="00CF56A5" w:rsidRDefault="00CF56A5" w:rsidP="00E05222">
            <w:pPr>
              <w:rPr>
                <w:sz w:val="18"/>
              </w:rPr>
            </w:pPr>
            <w:r w:rsidRPr="00CF56A5">
              <w:rPr>
                <w:sz w:val="18"/>
              </w:rPr>
              <w:t>Data management teams (composed of selected community members)</w:t>
            </w:r>
          </w:p>
        </w:tc>
        <w:tc>
          <w:tcPr>
            <w:tcW w:w="0" w:type="auto"/>
          </w:tcPr>
          <w:p w14:paraId="513BD842" w14:textId="61331CBE" w:rsidR="00CF56A5" w:rsidRPr="00CF56A5" w:rsidRDefault="00CF56A5" w:rsidP="00CF56A5">
            <w:pPr>
              <w:pStyle w:val="ListParagraph"/>
              <w:numPr>
                <w:ilvl w:val="0"/>
                <w:numId w:val="22"/>
              </w:numPr>
              <w:rPr>
                <w:sz w:val="18"/>
              </w:rPr>
            </w:pPr>
            <w:r w:rsidRPr="00CF56A5">
              <w:rPr>
                <w:sz w:val="18"/>
              </w:rPr>
              <w:t>Each structure (including business structures, business structures, toilets, community centres) was assigned a unique code which was later reflected on the enumeration and mapping sheets</w:t>
            </w:r>
          </w:p>
          <w:p w14:paraId="7FE43237" w14:textId="77777777" w:rsidR="00CF56A5" w:rsidRPr="00CF56A5" w:rsidRDefault="00CF56A5" w:rsidP="00CF56A5">
            <w:pPr>
              <w:pStyle w:val="ListParagraph"/>
              <w:numPr>
                <w:ilvl w:val="0"/>
                <w:numId w:val="22"/>
              </w:numPr>
              <w:rPr>
                <w:sz w:val="18"/>
              </w:rPr>
            </w:pPr>
            <w:r w:rsidRPr="00CF56A5">
              <w:rPr>
                <w:sz w:val="18"/>
              </w:rPr>
              <w:t xml:space="preserve">Data management team summarized the numbering data at the end of each day and thus helped both the community and </w:t>
            </w:r>
            <w:proofErr w:type="spellStart"/>
            <w:r w:rsidRPr="00CF56A5">
              <w:rPr>
                <w:sz w:val="18"/>
              </w:rPr>
              <w:t>ACTogether</w:t>
            </w:r>
            <w:proofErr w:type="spellEnd"/>
            <w:r w:rsidRPr="00CF56A5">
              <w:rPr>
                <w:sz w:val="18"/>
              </w:rPr>
              <w:t xml:space="preserve"> to monitor and evaluate the process on a daily basis</w:t>
            </w:r>
          </w:p>
        </w:tc>
        <w:tc>
          <w:tcPr>
            <w:tcW w:w="0" w:type="auto"/>
          </w:tcPr>
          <w:p w14:paraId="70676ACD" w14:textId="77777777" w:rsidR="00CF56A5" w:rsidRPr="00CF56A5" w:rsidRDefault="00CF56A5" w:rsidP="00E05222">
            <w:pPr>
              <w:rPr>
                <w:sz w:val="18"/>
              </w:rPr>
            </w:pPr>
            <w:r w:rsidRPr="00CF56A5">
              <w:rPr>
                <w:sz w:val="18"/>
              </w:rPr>
              <w:t>Enable the community to better understand the services available to their settlement</w:t>
            </w:r>
          </w:p>
        </w:tc>
      </w:tr>
      <w:tr w:rsidR="00CF56A5" w:rsidRPr="00CF56A5" w14:paraId="2A41076D" w14:textId="77777777" w:rsidTr="00E05222">
        <w:tc>
          <w:tcPr>
            <w:tcW w:w="0" w:type="auto"/>
            <w:vMerge w:val="restart"/>
          </w:tcPr>
          <w:p w14:paraId="28A746C4" w14:textId="77777777" w:rsidR="00CF56A5" w:rsidRPr="00B253A0" w:rsidRDefault="00CF56A5" w:rsidP="00E05222">
            <w:pPr>
              <w:rPr>
                <w:i/>
                <w:sz w:val="18"/>
              </w:rPr>
            </w:pPr>
            <w:r w:rsidRPr="00B253A0">
              <w:rPr>
                <w:i/>
                <w:sz w:val="18"/>
              </w:rPr>
              <w:t>Data collection</w:t>
            </w:r>
          </w:p>
        </w:tc>
        <w:tc>
          <w:tcPr>
            <w:tcW w:w="0" w:type="auto"/>
            <w:vMerge w:val="restart"/>
          </w:tcPr>
          <w:p w14:paraId="3452A745" w14:textId="77777777" w:rsidR="00CF56A5" w:rsidRPr="00CF56A5" w:rsidRDefault="00CF56A5" w:rsidP="00E05222">
            <w:pPr>
              <w:rPr>
                <w:sz w:val="18"/>
              </w:rPr>
            </w:pPr>
            <w:r w:rsidRPr="00CF56A5">
              <w:rPr>
                <w:sz w:val="18"/>
              </w:rPr>
              <w:t>Students, federation members</w:t>
            </w:r>
          </w:p>
        </w:tc>
        <w:tc>
          <w:tcPr>
            <w:tcW w:w="0" w:type="auto"/>
          </w:tcPr>
          <w:p w14:paraId="61E7C247" w14:textId="77777777" w:rsidR="00CF56A5" w:rsidRPr="00CF56A5" w:rsidRDefault="00CF56A5" w:rsidP="00E05222">
            <w:pPr>
              <w:rPr>
                <w:sz w:val="18"/>
              </w:rPr>
            </w:pPr>
            <w:r w:rsidRPr="00CF56A5">
              <w:rPr>
                <w:sz w:val="18"/>
              </w:rPr>
              <w:t xml:space="preserve">Questionnaire distributed to households and business owners within the settlements. </w:t>
            </w:r>
          </w:p>
        </w:tc>
        <w:tc>
          <w:tcPr>
            <w:tcW w:w="0" w:type="auto"/>
          </w:tcPr>
          <w:p w14:paraId="13151130" w14:textId="77777777" w:rsidR="00CF56A5" w:rsidRPr="00CF56A5" w:rsidRDefault="00CF56A5" w:rsidP="00E05222">
            <w:pPr>
              <w:rPr>
                <w:sz w:val="18"/>
              </w:rPr>
            </w:pPr>
            <w:r w:rsidRPr="00CF56A5">
              <w:rPr>
                <w:sz w:val="18"/>
              </w:rPr>
              <w:t xml:space="preserve">Gather information on structure, household details, occupancy details, population and available services in </w:t>
            </w:r>
            <w:r w:rsidRPr="00CF56A5">
              <w:rPr>
                <w:sz w:val="18"/>
              </w:rPr>
              <w:lastRenderedPageBreak/>
              <w:t>the house.</w:t>
            </w:r>
          </w:p>
        </w:tc>
      </w:tr>
      <w:tr w:rsidR="00CF56A5" w:rsidRPr="00CF56A5" w14:paraId="21F7B259" w14:textId="77777777" w:rsidTr="00E05222">
        <w:tc>
          <w:tcPr>
            <w:tcW w:w="0" w:type="auto"/>
            <w:vMerge/>
          </w:tcPr>
          <w:p w14:paraId="1BC6A1CA" w14:textId="77777777" w:rsidR="00CF56A5" w:rsidRPr="00B253A0" w:rsidRDefault="00CF56A5" w:rsidP="00E05222">
            <w:pPr>
              <w:rPr>
                <w:i/>
                <w:sz w:val="18"/>
              </w:rPr>
            </w:pPr>
          </w:p>
        </w:tc>
        <w:tc>
          <w:tcPr>
            <w:tcW w:w="0" w:type="auto"/>
            <w:vMerge/>
          </w:tcPr>
          <w:p w14:paraId="2E3976E9" w14:textId="77777777" w:rsidR="00CF56A5" w:rsidRPr="00CF56A5" w:rsidRDefault="00CF56A5" w:rsidP="00E05222">
            <w:pPr>
              <w:rPr>
                <w:sz w:val="18"/>
              </w:rPr>
            </w:pPr>
          </w:p>
        </w:tc>
        <w:tc>
          <w:tcPr>
            <w:tcW w:w="0" w:type="auto"/>
          </w:tcPr>
          <w:p w14:paraId="6D9388C8" w14:textId="77777777" w:rsidR="00CF56A5" w:rsidRPr="00CF56A5" w:rsidRDefault="00CF56A5" w:rsidP="00E05222">
            <w:pPr>
              <w:rPr>
                <w:sz w:val="18"/>
              </w:rPr>
            </w:pPr>
            <w:r w:rsidRPr="00CF56A5">
              <w:rPr>
                <w:sz w:val="18"/>
              </w:rPr>
              <w:t>Physical observations</w:t>
            </w:r>
          </w:p>
        </w:tc>
        <w:tc>
          <w:tcPr>
            <w:tcW w:w="0" w:type="auto"/>
          </w:tcPr>
          <w:p w14:paraId="4FF34D14" w14:textId="77777777" w:rsidR="00CF56A5" w:rsidRPr="00CF56A5" w:rsidRDefault="00CF56A5" w:rsidP="00CF56A5">
            <w:pPr>
              <w:pStyle w:val="ListParagraph"/>
              <w:numPr>
                <w:ilvl w:val="0"/>
                <w:numId w:val="23"/>
              </w:numPr>
              <w:rPr>
                <w:sz w:val="18"/>
              </w:rPr>
            </w:pPr>
            <w:r w:rsidRPr="00CF56A5">
              <w:rPr>
                <w:sz w:val="18"/>
              </w:rPr>
              <w:t>Verify previous data collected NSDFU</w:t>
            </w:r>
          </w:p>
          <w:p w14:paraId="43E0CBD0" w14:textId="77777777" w:rsidR="00CF56A5" w:rsidRPr="00CF56A5" w:rsidRDefault="00CF56A5" w:rsidP="00CF56A5">
            <w:pPr>
              <w:pStyle w:val="ListParagraph"/>
              <w:numPr>
                <w:ilvl w:val="0"/>
                <w:numId w:val="23"/>
              </w:numPr>
              <w:rPr>
                <w:sz w:val="18"/>
              </w:rPr>
            </w:pPr>
            <w:r w:rsidRPr="00CF56A5">
              <w:rPr>
                <w:sz w:val="18"/>
              </w:rPr>
              <w:t>Contextualize the data and collect more detailed information not captured in the questionnaires or interviews</w:t>
            </w:r>
          </w:p>
        </w:tc>
      </w:tr>
      <w:tr w:rsidR="00CF56A5" w:rsidRPr="00CF56A5" w14:paraId="40B56FE8" w14:textId="77777777" w:rsidTr="00E05222">
        <w:tc>
          <w:tcPr>
            <w:tcW w:w="0" w:type="auto"/>
            <w:vMerge/>
          </w:tcPr>
          <w:p w14:paraId="3681B442" w14:textId="77777777" w:rsidR="00CF56A5" w:rsidRPr="00B253A0" w:rsidRDefault="00CF56A5" w:rsidP="00E05222">
            <w:pPr>
              <w:rPr>
                <w:i/>
                <w:sz w:val="18"/>
              </w:rPr>
            </w:pPr>
          </w:p>
        </w:tc>
        <w:tc>
          <w:tcPr>
            <w:tcW w:w="0" w:type="auto"/>
            <w:vMerge/>
          </w:tcPr>
          <w:p w14:paraId="28ED1D19" w14:textId="77777777" w:rsidR="00CF56A5" w:rsidRPr="00CF56A5" w:rsidRDefault="00CF56A5" w:rsidP="00E05222">
            <w:pPr>
              <w:rPr>
                <w:sz w:val="18"/>
              </w:rPr>
            </w:pPr>
          </w:p>
        </w:tc>
        <w:tc>
          <w:tcPr>
            <w:tcW w:w="0" w:type="auto"/>
          </w:tcPr>
          <w:p w14:paraId="2B8208BF" w14:textId="77777777" w:rsidR="00CF56A5" w:rsidRPr="00CF56A5" w:rsidRDefault="00CF56A5" w:rsidP="00E05222">
            <w:pPr>
              <w:rPr>
                <w:sz w:val="18"/>
              </w:rPr>
            </w:pPr>
            <w:r w:rsidRPr="00CF56A5">
              <w:rPr>
                <w:sz w:val="18"/>
              </w:rPr>
              <w:t>Interviews: face-to-face interaction with different respondents such as technocrats and local residents</w:t>
            </w:r>
          </w:p>
        </w:tc>
        <w:tc>
          <w:tcPr>
            <w:tcW w:w="0" w:type="auto"/>
          </w:tcPr>
          <w:p w14:paraId="369657DC" w14:textId="77777777" w:rsidR="00CF56A5" w:rsidRPr="00CF56A5" w:rsidRDefault="00CF56A5" w:rsidP="00E05222">
            <w:pPr>
              <w:rPr>
                <w:sz w:val="18"/>
              </w:rPr>
            </w:pPr>
            <w:r w:rsidRPr="00CF56A5">
              <w:rPr>
                <w:sz w:val="18"/>
              </w:rPr>
              <w:t>Record views, suggestions and observations from key local actors</w:t>
            </w:r>
          </w:p>
        </w:tc>
      </w:tr>
      <w:tr w:rsidR="00CF56A5" w:rsidRPr="00CF56A5" w14:paraId="7C9F9DC6" w14:textId="77777777" w:rsidTr="00E05222">
        <w:tc>
          <w:tcPr>
            <w:tcW w:w="0" w:type="auto"/>
            <w:vMerge/>
          </w:tcPr>
          <w:p w14:paraId="0B930115" w14:textId="77777777" w:rsidR="00CF56A5" w:rsidRPr="00B253A0" w:rsidRDefault="00CF56A5" w:rsidP="00E05222">
            <w:pPr>
              <w:rPr>
                <w:i/>
                <w:sz w:val="18"/>
              </w:rPr>
            </w:pPr>
          </w:p>
        </w:tc>
        <w:tc>
          <w:tcPr>
            <w:tcW w:w="0" w:type="auto"/>
            <w:vMerge/>
          </w:tcPr>
          <w:p w14:paraId="219D4864" w14:textId="77777777" w:rsidR="00CF56A5" w:rsidRPr="00CF56A5" w:rsidRDefault="00CF56A5" w:rsidP="00E05222">
            <w:pPr>
              <w:rPr>
                <w:sz w:val="18"/>
              </w:rPr>
            </w:pPr>
          </w:p>
        </w:tc>
        <w:tc>
          <w:tcPr>
            <w:tcW w:w="0" w:type="auto"/>
          </w:tcPr>
          <w:p w14:paraId="29EEDBED" w14:textId="77777777" w:rsidR="00CF56A5" w:rsidRPr="00CF56A5" w:rsidRDefault="00CF56A5" w:rsidP="00E05222">
            <w:pPr>
              <w:rPr>
                <w:sz w:val="18"/>
              </w:rPr>
            </w:pPr>
            <w:r w:rsidRPr="00CF56A5">
              <w:rPr>
                <w:sz w:val="18"/>
              </w:rPr>
              <w:t>Photography</w:t>
            </w:r>
          </w:p>
        </w:tc>
        <w:tc>
          <w:tcPr>
            <w:tcW w:w="0" w:type="auto"/>
          </w:tcPr>
          <w:p w14:paraId="4B77E465" w14:textId="77777777" w:rsidR="00CF56A5" w:rsidRPr="00CF56A5" w:rsidRDefault="00CF56A5" w:rsidP="00CF56A5">
            <w:pPr>
              <w:pStyle w:val="ListParagraph"/>
              <w:numPr>
                <w:ilvl w:val="0"/>
                <w:numId w:val="24"/>
              </w:numPr>
              <w:rPr>
                <w:sz w:val="18"/>
              </w:rPr>
            </w:pPr>
            <w:r w:rsidRPr="00CF56A5">
              <w:rPr>
                <w:sz w:val="18"/>
              </w:rPr>
              <w:t>Ensure efficiency in data collection, analysis and presentation</w:t>
            </w:r>
          </w:p>
          <w:p w14:paraId="5181D39A" w14:textId="77777777" w:rsidR="00CF56A5" w:rsidRPr="00CF56A5" w:rsidRDefault="00CF56A5" w:rsidP="00CF56A5">
            <w:pPr>
              <w:pStyle w:val="ListParagraph"/>
              <w:numPr>
                <w:ilvl w:val="0"/>
                <w:numId w:val="24"/>
              </w:numPr>
              <w:rPr>
                <w:sz w:val="18"/>
              </w:rPr>
            </w:pPr>
            <w:r w:rsidRPr="00CF56A5">
              <w:rPr>
                <w:sz w:val="18"/>
              </w:rPr>
              <w:t>Corroborate findings obtained using other methods</w:t>
            </w:r>
          </w:p>
        </w:tc>
      </w:tr>
      <w:tr w:rsidR="00CF56A5" w:rsidRPr="00CF56A5" w14:paraId="37B4A126" w14:textId="77777777" w:rsidTr="00E05222">
        <w:tc>
          <w:tcPr>
            <w:tcW w:w="0" w:type="auto"/>
            <w:vMerge/>
          </w:tcPr>
          <w:p w14:paraId="1274A52D" w14:textId="77777777" w:rsidR="00CF56A5" w:rsidRPr="00B253A0" w:rsidRDefault="00CF56A5" w:rsidP="00E05222">
            <w:pPr>
              <w:rPr>
                <w:i/>
                <w:sz w:val="18"/>
              </w:rPr>
            </w:pPr>
          </w:p>
        </w:tc>
        <w:tc>
          <w:tcPr>
            <w:tcW w:w="0" w:type="auto"/>
            <w:vMerge/>
          </w:tcPr>
          <w:p w14:paraId="1FF166B9" w14:textId="77777777" w:rsidR="00CF56A5" w:rsidRPr="00CF56A5" w:rsidRDefault="00CF56A5" w:rsidP="00E05222">
            <w:pPr>
              <w:rPr>
                <w:sz w:val="18"/>
              </w:rPr>
            </w:pPr>
          </w:p>
        </w:tc>
        <w:tc>
          <w:tcPr>
            <w:tcW w:w="0" w:type="auto"/>
          </w:tcPr>
          <w:p w14:paraId="0AFE839A" w14:textId="77777777" w:rsidR="00CF56A5" w:rsidRPr="00CF56A5" w:rsidRDefault="00CF56A5" w:rsidP="00E05222">
            <w:pPr>
              <w:rPr>
                <w:sz w:val="18"/>
              </w:rPr>
            </w:pPr>
            <w:r w:rsidRPr="00CF56A5">
              <w:rPr>
                <w:sz w:val="18"/>
              </w:rPr>
              <w:t>Secondary Sources: Secondary data included available census data, official documents and case studies on the five areas. Secondary data were also gathered from dissertations, internet, books, journals and publications</w:t>
            </w:r>
          </w:p>
        </w:tc>
        <w:tc>
          <w:tcPr>
            <w:tcW w:w="0" w:type="auto"/>
          </w:tcPr>
          <w:p w14:paraId="610B6DDB" w14:textId="77777777" w:rsidR="00CF56A5" w:rsidRPr="00CF56A5" w:rsidRDefault="00CF56A5" w:rsidP="00CF56A5">
            <w:pPr>
              <w:pStyle w:val="ListParagraph"/>
              <w:numPr>
                <w:ilvl w:val="0"/>
                <w:numId w:val="24"/>
              </w:numPr>
              <w:rPr>
                <w:sz w:val="18"/>
              </w:rPr>
            </w:pPr>
            <w:r w:rsidRPr="00CF56A5">
              <w:rPr>
                <w:sz w:val="18"/>
              </w:rPr>
              <w:t>Consolidate secondary data on the project areas</w:t>
            </w:r>
          </w:p>
          <w:p w14:paraId="0E824C45" w14:textId="77777777" w:rsidR="00CF56A5" w:rsidRPr="00CF56A5" w:rsidRDefault="00CF56A5" w:rsidP="00CF56A5">
            <w:pPr>
              <w:pStyle w:val="ListParagraph"/>
              <w:numPr>
                <w:ilvl w:val="0"/>
                <w:numId w:val="24"/>
              </w:numPr>
              <w:rPr>
                <w:sz w:val="18"/>
              </w:rPr>
            </w:pPr>
            <w:r w:rsidRPr="00CF56A5">
              <w:rPr>
                <w:sz w:val="18"/>
              </w:rPr>
              <w:t>Corroborate findings obtained using other methods</w:t>
            </w:r>
          </w:p>
        </w:tc>
      </w:tr>
      <w:tr w:rsidR="00CF56A5" w:rsidRPr="00CF56A5" w14:paraId="445F2866" w14:textId="77777777" w:rsidTr="00E05222">
        <w:tc>
          <w:tcPr>
            <w:tcW w:w="0" w:type="auto"/>
          </w:tcPr>
          <w:p w14:paraId="2796FD7B" w14:textId="77777777" w:rsidR="00CF56A5" w:rsidRPr="00B253A0" w:rsidRDefault="00CF56A5" w:rsidP="00E05222">
            <w:pPr>
              <w:rPr>
                <w:i/>
                <w:sz w:val="18"/>
              </w:rPr>
            </w:pPr>
            <w:r w:rsidRPr="00B253A0">
              <w:rPr>
                <w:i/>
                <w:sz w:val="18"/>
              </w:rPr>
              <w:t>Data management and entry</w:t>
            </w:r>
          </w:p>
        </w:tc>
        <w:tc>
          <w:tcPr>
            <w:tcW w:w="0" w:type="auto"/>
          </w:tcPr>
          <w:p w14:paraId="668726E1" w14:textId="77777777" w:rsidR="00CF56A5" w:rsidRPr="00CF56A5" w:rsidRDefault="00CF56A5" w:rsidP="00E05222">
            <w:pPr>
              <w:rPr>
                <w:sz w:val="18"/>
              </w:rPr>
            </w:pPr>
            <w:r w:rsidRPr="00CF56A5">
              <w:rPr>
                <w:sz w:val="18"/>
              </w:rPr>
              <w:t xml:space="preserve">Community members (computerized data entry performed with assistance and supervision of </w:t>
            </w:r>
            <w:proofErr w:type="spellStart"/>
            <w:r w:rsidRPr="00CF56A5">
              <w:rPr>
                <w:sz w:val="18"/>
              </w:rPr>
              <w:t>ACTogether</w:t>
            </w:r>
            <w:proofErr w:type="spellEnd"/>
            <w:r w:rsidRPr="00CF56A5">
              <w:rPr>
                <w:sz w:val="18"/>
              </w:rPr>
              <w:t>)</w:t>
            </w:r>
          </w:p>
        </w:tc>
        <w:tc>
          <w:tcPr>
            <w:tcW w:w="0" w:type="auto"/>
          </w:tcPr>
          <w:p w14:paraId="69EB85B7" w14:textId="24FA5B09" w:rsidR="00CF56A5" w:rsidRPr="00CF56A5" w:rsidRDefault="00555FBB" w:rsidP="00CF56A5">
            <w:pPr>
              <w:pStyle w:val="ListParagraph"/>
              <w:numPr>
                <w:ilvl w:val="0"/>
                <w:numId w:val="25"/>
              </w:numPr>
              <w:rPr>
                <w:sz w:val="18"/>
              </w:rPr>
            </w:pPr>
            <w:r>
              <w:rPr>
                <w:sz w:val="18"/>
              </w:rPr>
              <w:t>Chart was organiz</w:t>
            </w:r>
            <w:r w:rsidR="00CF56A5" w:rsidRPr="00CF56A5">
              <w:rPr>
                <w:sz w:val="18"/>
              </w:rPr>
              <w:t>ed in each tallying centre where information collected was tallied on a daily basis</w:t>
            </w:r>
          </w:p>
          <w:p w14:paraId="0B75A09D" w14:textId="77777777" w:rsidR="00CF56A5" w:rsidRPr="00CF56A5" w:rsidRDefault="00CF56A5" w:rsidP="00CF56A5">
            <w:pPr>
              <w:pStyle w:val="ListParagraph"/>
              <w:numPr>
                <w:ilvl w:val="0"/>
                <w:numId w:val="25"/>
              </w:numPr>
              <w:rPr>
                <w:sz w:val="18"/>
              </w:rPr>
            </w:pPr>
            <w:r w:rsidRPr="00CF56A5">
              <w:rPr>
                <w:sz w:val="18"/>
              </w:rPr>
              <w:t>Community registrar was created where each settlement had its details and this information was made available for use by community members</w:t>
            </w:r>
          </w:p>
          <w:p w14:paraId="3A9F666D" w14:textId="77777777" w:rsidR="00CF56A5" w:rsidRPr="00CF56A5" w:rsidRDefault="00CF56A5" w:rsidP="00CF56A5">
            <w:pPr>
              <w:pStyle w:val="ListParagraph"/>
              <w:numPr>
                <w:ilvl w:val="0"/>
                <w:numId w:val="25"/>
              </w:numPr>
              <w:rPr>
                <w:sz w:val="18"/>
              </w:rPr>
            </w:pPr>
            <w:r w:rsidRPr="00CF56A5">
              <w:rPr>
                <w:sz w:val="18"/>
              </w:rPr>
              <w:t>Computerization of data</w:t>
            </w:r>
          </w:p>
          <w:p w14:paraId="102930B4" w14:textId="77777777" w:rsidR="00CF56A5" w:rsidRPr="00CF56A5" w:rsidRDefault="00CF56A5" w:rsidP="00CF56A5">
            <w:pPr>
              <w:pStyle w:val="ListParagraph"/>
              <w:numPr>
                <w:ilvl w:val="0"/>
                <w:numId w:val="25"/>
              </w:numPr>
              <w:rPr>
                <w:sz w:val="18"/>
              </w:rPr>
            </w:pPr>
            <w:r w:rsidRPr="00CF56A5">
              <w:rPr>
                <w:sz w:val="18"/>
              </w:rPr>
              <w:t>Data analysis and report writing undertaken after data is verified</w:t>
            </w:r>
          </w:p>
        </w:tc>
        <w:tc>
          <w:tcPr>
            <w:tcW w:w="0" w:type="auto"/>
          </w:tcPr>
          <w:p w14:paraId="173E1959" w14:textId="77777777" w:rsidR="00CF56A5" w:rsidRPr="00CF56A5" w:rsidRDefault="00CF56A5" w:rsidP="00E05222">
            <w:pPr>
              <w:rPr>
                <w:sz w:val="18"/>
              </w:rPr>
            </w:pPr>
            <w:r w:rsidRPr="00CF56A5">
              <w:rPr>
                <w:sz w:val="18"/>
              </w:rPr>
              <w:t>Help community members to understand and appreciate the ongoing exercise</w:t>
            </w:r>
          </w:p>
        </w:tc>
      </w:tr>
    </w:tbl>
    <w:p w14:paraId="0B72D2D3" w14:textId="77777777" w:rsidR="00CF56A5" w:rsidRDefault="00CF56A5" w:rsidP="006314EF"/>
    <w:sectPr w:rsidR="00CF56A5" w:rsidSect="005754BA">
      <w:pgSz w:w="16840" w:h="11901" w:orient="landscape"/>
      <w:pgMar w:top="1797" w:right="1440" w:bottom="1797" w:left="1440" w:header="709" w:footer="709"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DC43" w14:textId="77777777" w:rsidR="00261BDF" w:rsidRDefault="00261BDF" w:rsidP="00232C30">
      <w:r>
        <w:separator/>
      </w:r>
    </w:p>
  </w:endnote>
  <w:endnote w:type="continuationSeparator" w:id="0">
    <w:p w14:paraId="6DEF86D4" w14:textId="77777777" w:rsidR="00261BDF" w:rsidRDefault="00261BDF" w:rsidP="002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7864" w14:textId="77777777" w:rsidR="00261BDF" w:rsidRDefault="00261BDF" w:rsidP="00276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50E4C" w14:textId="77777777" w:rsidR="00261BDF" w:rsidRDefault="00261BDF" w:rsidP="00276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E544" w14:textId="77777777" w:rsidR="00261BDF" w:rsidRDefault="00261BDF" w:rsidP="0027611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7965" w14:textId="7B4B742B" w:rsidR="00261BDF" w:rsidRDefault="00261BDF" w:rsidP="00276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93F">
      <w:rPr>
        <w:rStyle w:val="PageNumber"/>
        <w:noProof/>
      </w:rPr>
      <w:t>22</w:t>
    </w:r>
    <w:r>
      <w:rPr>
        <w:rStyle w:val="PageNumber"/>
      </w:rPr>
      <w:fldChar w:fldCharType="end"/>
    </w:r>
  </w:p>
  <w:p w14:paraId="04DE13B4" w14:textId="77777777" w:rsidR="00261BDF" w:rsidRDefault="00261BDF" w:rsidP="0027611B">
    <w:pPr>
      <w:pStyle w:val="Footer"/>
      <w:ind w:right="360"/>
    </w:pPr>
  </w:p>
  <w:p w14:paraId="241BA0C4" w14:textId="77777777" w:rsidR="00261BDF" w:rsidRDefault="00261B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1D4C" w14:textId="77777777" w:rsidR="00261BDF" w:rsidRDefault="00261BDF" w:rsidP="00232C30">
      <w:r>
        <w:separator/>
      </w:r>
    </w:p>
  </w:footnote>
  <w:footnote w:type="continuationSeparator" w:id="0">
    <w:p w14:paraId="023AAAD4" w14:textId="77777777" w:rsidR="00261BDF" w:rsidRDefault="00261BDF" w:rsidP="00232C30">
      <w:r>
        <w:continuationSeparator/>
      </w:r>
    </w:p>
  </w:footnote>
  <w:footnote w:id="1">
    <w:p w14:paraId="4C9F31FF" w14:textId="097839C5" w:rsidR="00261BDF" w:rsidRPr="00E74BC4" w:rsidRDefault="00261BDF">
      <w:pPr>
        <w:pStyle w:val="FootnoteText"/>
        <w:rPr>
          <w:sz w:val="20"/>
          <w:szCs w:val="20"/>
          <w:lang w:val="en-US"/>
        </w:rPr>
      </w:pPr>
      <w:r w:rsidRPr="00E74BC4">
        <w:rPr>
          <w:rStyle w:val="FootnoteReference"/>
          <w:sz w:val="20"/>
          <w:szCs w:val="20"/>
        </w:rPr>
        <w:footnoteRef/>
      </w:r>
      <w:r w:rsidRPr="00E74BC4">
        <w:rPr>
          <w:sz w:val="20"/>
          <w:szCs w:val="20"/>
        </w:rPr>
        <w:t xml:space="preserve"> </w:t>
      </w:r>
      <w:r w:rsidRPr="00E74BC4">
        <w:rPr>
          <w:sz w:val="20"/>
          <w:szCs w:val="20"/>
          <w:lang w:val="en-US"/>
        </w:rPr>
        <w:t>SDI observes a typical organizational structure and working model in all its countries of operation. This involves establishing ‘federations’ to mobilize communities through the use of ‘rituals’ such as self-enumeration and financial savings schemes. The federation is supported in its work by an NGO partner, which provides skills and resources needed to mobilize and empower community federations. In the case of these studios, therefore, university departments worked with both SDI federations and support NGOs.</w:t>
      </w:r>
      <w:r>
        <w:rPr>
          <w:sz w:val="20"/>
          <w:szCs w:val="20"/>
          <w:lang w:val="en-US"/>
        </w:rPr>
        <w:t xml:space="preserve"> For more information on the nature of SDI’s work, please see </w:t>
      </w:r>
      <w:hyperlink r:id="rId1" w:history="1">
        <w:r w:rsidRPr="005267F8">
          <w:rPr>
            <w:rStyle w:val="Hyperlink"/>
            <w:sz w:val="20"/>
            <w:szCs w:val="20"/>
            <w:lang w:val="en-US"/>
          </w:rPr>
          <w:t>http://www.sdinet.org</w:t>
        </w:r>
      </w:hyperlink>
      <w:r>
        <w:rPr>
          <w:sz w:val="20"/>
          <w:szCs w:val="20"/>
          <w:lang w:val="en-US"/>
        </w:rPr>
        <w:t xml:space="preserve">. </w:t>
      </w:r>
    </w:p>
  </w:footnote>
  <w:footnote w:id="2">
    <w:p w14:paraId="27BBB78D" w14:textId="7FD0BCFD" w:rsidR="00261BDF" w:rsidRPr="00EC096B" w:rsidRDefault="00261BDF" w:rsidP="0008677E">
      <w:pPr>
        <w:pStyle w:val="FootnoteText"/>
        <w:rPr>
          <w:sz w:val="20"/>
          <w:szCs w:val="20"/>
          <w:lang w:val="en-US"/>
        </w:rPr>
      </w:pPr>
      <w:r w:rsidRPr="00EC096B">
        <w:rPr>
          <w:rStyle w:val="FootnoteReference"/>
          <w:sz w:val="20"/>
          <w:szCs w:val="20"/>
        </w:rPr>
        <w:footnoteRef/>
      </w:r>
      <w:r w:rsidRPr="00EC096B">
        <w:rPr>
          <w:sz w:val="20"/>
          <w:szCs w:val="20"/>
        </w:rPr>
        <w:t xml:space="preserve"> </w:t>
      </w:r>
      <w:r w:rsidRPr="00EC096B">
        <w:rPr>
          <w:sz w:val="20"/>
          <w:szCs w:val="20"/>
          <w:lang w:val="en-US"/>
        </w:rPr>
        <w:t>Information on this studio and quotes are drawn from the studio report produced by Grace</w:t>
      </w:r>
      <w:r>
        <w:rPr>
          <w:sz w:val="20"/>
          <w:szCs w:val="20"/>
          <w:lang w:val="en-US"/>
        </w:rPr>
        <w:t xml:space="preserve"> </w:t>
      </w:r>
      <w:proofErr w:type="spellStart"/>
      <w:r>
        <w:rPr>
          <w:sz w:val="20"/>
          <w:szCs w:val="20"/>
          <w:lang w:val="en-US"/>
        </w:rPr>
        <w:t>Khumalo</w:t>
      </w:r>
      <w:proofErr w:type="spellEnd"/>
      <w:r>
        <w:rPr>
          <w:sz w:val="20"/>
          <w:szCs w:val="20"/>
          <w:lang w:val="en-US"/>
        </w:rPr>
        <w:t xml:space="preserve"> (University of Malawi,</w:t>
      </w:r>
      <w:r w:rsidRPr="00EC096B">
        <w:rPr>
          <w:sz w:val="20"/>
          <w:szCs w:val="20"/>
          <w:lang w:val="en-US"/>
        </w:rPr>
        <w:t xml:space="preserve"> The Polytechnic</w:t>
      </w:r>
      <w:r>
        <w:rPr>
          <w:sz w:val="20"/>
          <w:szCs w:val="20"/>
          <w:lang w:val="en-US"/>
        </w:rPr>
        <w:t>)</w:t>
      </w:r>
      <w:r w:rsidRPr="00EC096B">
        <w:rPr>
          <w:sz w:val="20"/>
          <w:szCs w:val="20"/>
          <w:lang w:val="en-US"/>
        </w:rPr>
        <w:t xml:space="preserve">, September 2012, and the overall report on both Malawian studios, </w:t>
      </w:r>
      <w:r>
        <w:rPr>
          <w:sz w:val="20"/>
          <w:szCs w:val="20"/>
          <w:lang w:val="en-US"/>
        </w:rPr>
        <w:t xml:space="preserve">entitled </w:t>
      </w:r>
      <w:r w:rsidRPr="00EC096B">
        <w:rPr>
          <w:sz w:val="20"/>
          <w:szCs w:val="20"/>
          <w:lang w:val="en-US"/>
        </w:rPr>
        <w:t>‘Learning Differently: Malawi Community Planning Studios’, by Baraka Mwau, N</w:t>
      </w:r>
      <w:r>
        <w:rPr>
          <w:sz w:val="20"/>
          <w:szCs w:val="20"/>
          <w:lang w:val="en-US"/>
        </w:rPr>
        <w:t xml:space="preserve">oah </w:t>
      </w:r>
      <w:proofErr w:type="spellStart"/>
      <w:r>
        <w:rPr>
          <w:sz w:val="20"/>
          <w:szCs w:val="20"/>
          <w:lang w:val="en-US"/>
        </w:rPr>
        <w:t>Schermbrucker</w:t>
      </w:r>
      <w:proofErr w:type="spellEnd"/>
      <w:r>
        <w:rPr>
          <w:sz w:val="20"/>
          <w:szCs w:val="20"/>
          <w:lang w:val="en-US"/>
        </w:rPr>
        <w:t xml:space="preserve"> and </w:t>
      </w:r>
      <w:proofErr w:type="spellStart"/>
      <w:r>
        <w:rPr>
          <w:sz w:val="20"/>
          <w:szCs w:val="20"/>
          <w:lang w:val="en-US"/>
        </w:rPr>
        <w:t>Adi</w:t>
      </w:r>
      <w:proofErr w:type="spellEnd"/>
      <w:r>
        <w:rPr>
          <w:sz w:val="20"/>
          <w:szCs w:val="20"/>
          <w:lang w:val="en-US"/>
        </w:rPr>
        <w:t xml:space="preserve"> Kumar</w:t>
      </w:r>
      <w:r w:rsidRPr="00EC096B">
        <w:rPr>
          <w:sz w:val="20"/>
          <w:szCs w:val="20"/>
          <w:lang w:val="en-US"/>
        </w:rPr>
        <w:t xml:space="preserve"> </w:t>
      </w:r>
      <w:r>
        <w:rPr>
          <w:sz w:val="20"/>
          <w:szCs w:val="20"/>
          <w:lang w:val="en-US"/>
        </w:rPr>
        <w:t>(</w:t>
      </w:r>
      <w:r w:rsidRPr="00EC096B">
        <w:rPr>
          <w:sz w:val="20"/>
          <w:szCs w:val="20"/>
          <w:lang w:val="en-US"/>
        </w:rPr>
        <w:t>SDI Secretariat</w:t>
      </w:r>
      <w:r>
        <w:rPr>
          <w:sz w:val="20"/>
          <w:szCs w:val="20"/>
          <w:lang w:val="en-US"/>
        </w:rPr>
        <w:t>)</w:t>
      </w:r>
      <w:r w:rsidRPr="00EC096B">
        <w:rPr>
          <w:sz w:val="20"/>
          <w:szCs w:val="20"/>
          <w:lang w:val="en-US"/>
        </w:rPr>
        <w:t>, January 2013</w:t>
      </w:r>
      <w:r>
        <w:rPr>
          <w:sz w:val="20"/>
          <w:szCs w:val="20"/>
          <w:lang w:val="en-US"/>
        </w:rPr>
        <w:t xml:space="preserve">, available for download at </w:t>
      </w:r>
      <w:hyperlink r:id="rId2" w:history="1">
        <w:r w:rsidRPr="00122653">
          <w:rPr>
            <w:rStyle w:val="Hyperlink"/>
            <w:sz w:val="20"/>
            <w:szCs w:val="20"/>
            <w:lang w:val="en-US"/>
          </w:rPr>
          <w:t>http://www.africanplanningschools.org.za/images/aaps/malawi_studios_booklet-final_draft-low_resolution.pdf</w:t>
        </w:r>
      </w:hyperlink>
      <w:r>
        <w:rPr>
          <w:sz w:val="20"/>
          <w:szCs w:val="20"/>
          <w:lang w:val="en-US"/>
        </w:rPr>
        <w:t xml:space="preserve"> </w:t>
      </w:r>
      <w:r w:rsidRPr="00EC096B">
        <w:rPr>
          <w:sz w:val="20"/>
          <w:szCs w:val="20"/>
          <w:lang w:val="en-US"/>
        </w:rPr>
        <w:t xml:space="preserve"> </w:t>
      </w:r>
      <w:r>
        <w:rPr>
          <w:sz w:val="20"/>
          <w:szCs w:val="20"/>
          <w:lang w:val="en-US"/>
        </w:rPr>
        <w:t xml:space="preserve"> </w:t>
      </w:r>
    </w:p>
  </w:footnote>
  <w:footnote w:id="3">
    <w:p w14:paraId="518970C0" w14:textId="6B57A5C3" w:rsidR="00261BDF" w:rsidRPr="00CF52AF" w:rsidRDefault="00261BDF" w:rsidP="0008677E">
      <w:pPr>
        <w:pStyle w:val="FootnoteText"/>
        <w:rPr>
          <w:sz w:val="20"/>
          <w:szCs w:val="20"/>
          <w:lang w:val="en-US"/>
        </w:rPr>
      </w:pPr>
      <w:r w:rsidRPr="00CF52AF">
        <w:rPr>
          <w:rStyle w:val="FootnoteReference"/>
          <w:sz w:val="20"/>
          <w:szCs w:val="20"/>
        </w:rPr>
        <w:footnoteRef/>
      </w:r>
      <w:r w:rsidRPr="00CF52AF">
        <w:rPr>
          <w:sz w:val="20"/>
          <w:szCs w:val="20"/>
        </w:rPr>
        <w:t xml:space="preserve"> In addition to the report on </w:t>
      </w:r>
      <w:r>
        <w:rPr>
          <w:sz w:val="20"/>
          <w:szCs w:val="20"/>
        </w:rPr>
        <w:t>both</w:t>
      </w:r>
      <w:r w:rsidRPr="00CF52AF">
        <w:rPr>
          <w:sz w:val="20"/>
          <w:szCs w:val="20"/>
        </w:rPr>
        <w:t xml:space="preserve"> Malawian studios compiled by Mwau </w:t>
      </w:r>
      <w:r w:rsidRPr="00CF52AF">
        <w:rPr>
          <w:i/>
          <w:sz w:val="20"/>
          <w:szCs w:val="20"/>
        </w:rPr>
        <w:t>et al</w:t>
      </w:r>
      <w:r w:rsidRPr="00CF52AF">
        <w:rPr>
          <w:sz w:val="20"/>
          <w:szCs w:val="20"/>
        </w:rPr>
        <w:t>. (</w:t>
      </w:r>
      <w:r w:rsidRPr="00CF52AF">
        <w:rPr>
          <w:sz w:val="20"/>
          <w:szCs w:val="20"/>
          <w:lang w:val="en-US"/>
        </w:rPr>
        <w:t>‘Learning Differently: Malawi Community Planning Studios’</w:t>
      </w:r>
      <w:r w:rsidRPr="00CF52AF">
        <w:rPr>
          <w:sz w:val="20"/>
          <w:szCs w:val="20"/>
        </w:rPr>
        <w:t xml:space="preserve">), </w:t>
      </w:r>
      <w:r w:rsidRPr="00CF52AF">
        <w:rPr>
          <w:sz w:val="20"/>
          <w:szCs w:val="20"/>
          <w:lang w:val="en-US"/>
        </w:rPr>
        <w:t xml:space="preserve">information on this studio and quotes are drawn from the studio report produced by Mtafu Manda and Dominic Kamlomo, </w:t>
      </w:r>
      <w:proofErr w:type="spellStart"/>
      <w:r w:rsidRPr="00CF52AF">
        <w:rPr>
          <w:sz w:val="20"/>
          <w:szCs w:val="20"/>
          <w:lang w:val="en-US"/>
        </w:rPr>
        <w:t>Mzuzu</w:t>
      </w:r>
      <w:proofErr w:type="spellEnd"/>
      <w:r w:rsidRPr="00CF52AF">
        <w:rPr>
          <w:sz w:val="20"/>
          <w:szCs w:val="20"/>
          <w:lang w:val="en-US"/>
        </w:rPr>
        <w:t xml:space="preserve"> University, December 2012.</w:t>
      </w:r>
    </w:p>
  </w:footnote>
  <w:footnote w:id="4">
    <w:p w14:paraId="70026CB1" w14:textId="17A7E71B" w:rsidR="00261BDF" w:rsidRPr="00267F64" w:rsidRDefault="00261BDF">
      <w:pPr>
        <w:pStyle w:val="FootnoteText"/>
        <w:rPr>
          <w:sz w:val="20"/>
          <w:szCs w:val="20"/>
          <w:lang w:val="en-US"/>
        </w:rPr>
      </w:pPr>
      <w:r w:rsidRPr="00267F64">
        <w:rPr>
          <w:rStyle w:val="FootnoteReference"/>
          <w:sz w:val="20"/>
          <w:szCs w:val="20"/>
        </w:rPr>
        <w:footnoteRef/>
      </w:r>
      <w:r w:rsidRPr="00267F64">
        <w:rPr>
          <w:sz w:val="20"/>
          <w:szCs w:val="20"/>
        </w:rPr>
        <w:t xml:space="preserve"> </w:t>
      </w:r>
      <w:r w:rsidRPr="00267F64">
        <w:rPr>
          <w:sz w:val="20"/>
          <w:szCs w:val="20"/>
          <w:lang w:val="en-US"/>
        </w:rPr>
        <w:t xml:space="preserve">Information on this studio and quotes are drawn from the studio report produced by Dr Stephen Mukiibi, Makerere University, </w:t>
      </w:r>
      <w:proofErr w:type="gramStart"/>
      <w:r w:rsidRPr="00267F64">
        <w:rPr>
          <w:sz w:val="20"/>
          <w:szCs w:val="20"/>
          <w:lang w:val="en-US"/>
        </w:rPr>
        <w:t>October</w:t>
      </w:r>
      <w:proofErr w:type="gramEnd"/>
      <w:r w:rsidRPr="00267F64">
        <w:rPr>
          <w:sz w:val="20"/>
          <w:szCs w:val="20"/>
          <w:lang w:val="en-US"/>
        </w:rPr>
        <w:t xml:space="preserve"> 2012.</w:t>
      </w:r>
    </w:p>
  </w:footnote>
  <w:footnote w:id="5">
    <w:p w14:paraId="03B41DE2" w14:textId="41B0CF9E" w:rsidR="00261BDF" w:rsidRPr="00267F64" w:rsidRDefault="00261BDF">
      <w:pPr>
        <w:pStyle w:val="FootnoteText"/>
        <w:rPr>
          <w:sz w:val="20"/>
          <w:lang w:val="en-US"/>
        </w:rPr>
      </w:pPr>
      <w:r w:rsidRPr="00267F64">
        <w:rPr>
          <w:rStyle w:val="FootnoteReference"/>
          <w:sz w:val="20"/>
        </w:rPr>
        <w:footnoteRef/>
      </w:r>
      <w:r w:rsidRPr="00267F64">
        <w:rPr>
          <w:sz w:val="20"/>
        </w:rPr>
        <w:t xml:space="preserve"> </w:t>
      </w:r>
      <w:r w:rsidRPr="00267F64">
        <w:rPr>
          <w:sz w:val="20"/>
          <w:szCs w:val="20"/>
          <w:lang w:val="en-US"/>
        </w:rPr>
        <w:t>Information on this studio and quotes are drawn</w:t>
      </w:r>
      <w:r>
        <w:rPr>
          <w:sz w:val="20"/>
        </w:rPr>
        <w:t xml:space="preserve"> from the following online article: </w:t>
      </w:r>
      <w:hyperlink r:id="rId3" w:history="1">
        <w:r w:rsidRPr="00267F64">
          <w:rPr>
            <w:rStyle w:val="Hyperlink"/>
            <w:sz w:val="20"/>
          </w:rPr>
          <w:t>http://www.centreforurbaninnovations.org/content/kiandutu-settlement-joint-studio-2014</w:t>
        </w:r>
      </w:hyperlink>
      <w:r w:rsidRPr="00267F64">
        <w:rPr>
          <w:sz w:val="20"/>
        </w:rPr>
        <w:t>, date accessed 28 August 2014.</w:t>
      </w:r>
    </w:p>
  </w:footnote>
  <w:footnote w:id="6">
    <w:p w14:paraId="41D8B9B5" w14:textId="6DA7042E" w:rsidR="00261BDF" w:rsidRPr="00267F64" w:rsidRDefault="00261BDF">
      <w:pPr>
        <w:pStyle w:val="FootnoteText"/>
        <w:rPr>
          <w:lang w:val="en-US"/>
        </w:rPr>
      </w:pPr>
      <w:r>
        <w:rPr>
          <w:rStyle w:val="FootnoteReference"/>
        </w:rPr>
        <w:footnoteRef/>
      </w:r>
      <w:r>
        <w:t xml:space="preserve"> </w:t>
      </w:r>
      <w:r w:rsidRPr="00267F64">
        <w:rPr>
          <w:sz w:val="20"/>
          <w:szCs w:val="20"/>
          <w:lang w:val="en-US"/>
        </w:rPr>
        <w:t>Information on this studio and quotes are drawn</w:t>
      </w:r>
      <w:r>
        <w:rPr>
          <w:sz w:val="20"/>
        </w:rPr>
        <w:t xml:space="preserve"> from the following online article: </w:t>
      </w:r>
      <w:hyperlink r:id="rId4" w:history="1">
        <w:r w:rsidRPr="00922D7D">
          <w:rPr>
            <w:rStyle w:val="Hyperlink"/>
            <w:sz w:val="20"/>
            <w:szCs w:val="20"/>
          </w:rPr>
          <w:t>http://namibia-shackdwellers.blogspot.com/2013/09/freedom-square-informal-settlement.html</w:t>
        </w:r>
      </w:hyperlink>
      <w:r w:rsidRPr="00922D7D">
        <w:rPr>
          <w:sz w:val="20"/>
          <w:szCs w:val="20"/>
        </w:rPr>
        <w:t>, date accessed 28 August 2014.</w:t>
      </w:r>
    </w:p>
  </w:footnote>
  <w:footnote w:id="7">
    <w:p w14:paraId="129F0F98" w14:textId="43F4D73F" w:rsidR="00261BDF" w:rsidRPr="00EC096B" w:rsidRDefault="00261BDF">
      <w:pPr>
        <w:pStyle w:val="FootnoteText"/>
        <w:rPr>
          <w:lang w:val="en-US"/>
        </w:rPr>
      </w:pPr>
      <w:r>
        <w:rPr>
          <w:rStyle w:val="FootnoteReference"/>
        </w:rPr>
        <w:footnoteRef/>
      </w:r>
      <w:r>
        <w:t xml:space="preserve"> </w:t>
      </w:r>
      <w:r w:rsidRPr="00267F64">
        <w:rPr>
          <w:sz w:val="20"/>
          <w:szCs w:val="20"/>
          <w:lang w:val="en-US"/>
        </w:rPr>
        <w:t xml:space="preserve">Information on this studio and quotes are drawn from the studio report produced by </w:t>
      </w:r>
      <w:r>
        <w:rPr>
          <w:sz w:val="20"/>
          <w:szCs w:val="20"/>
          <w:lang w:val="en-US"/>
        </w:rPr>
        <w:t>Baraka Mwau</w:t>
      </w:r>
      <w:r w:rsidRPr="00267F64">
        <w:rPr>
          <w:sz w:val="20"/>
          <w:szCs w:val="20"/>
          <w:lang w:val="en-US"/>
        </w:rPr>
        <w:t xml:space="preserve">, </w:t>
      </w:r>
      <w:r>
        <w:rPr>
          <w:sz w:val="20"/>
          <w:szCs w:val="20"/>
          <w:lang w:val="en-US"/>
        </w:rPr>
        <w:t>SDI Secretariat</w:t>
      </w:r>
      <w:r w:rsidRPr="00267F64">
        <w:rPr>
          <w:sz w:val="20"/>
          <w:szCs w:val="20"/>
          <w:lang w:val="en-US"/>
        </w:rPr>
        <w:t xml:space="preserve">, </w:t>
      </w:r>
      <w:proofErr w:type="gramStart"/>
      <w:r>
        <w:rPr>
          <w:sz w:val="20"/>
          <w:szCs w:val="20"/>
          <w:lang w:val="en-US"/>
        </w:rPr>
        <w:t>May</w:t>
      </w:r>
      <w:proofErr w:type="gramEnd"/>
      <w:r>
        <w:rPr>
          <w:sz w:val="20"/>
          <w:szCs w:val="20"/>
          <w:lang w:val="en-US"/>
        </w:rPr>
        <w:t xml:space="preserve"> 2013</w:t>
      </w:r>
      <w:r w:rsidRPr="00267F64">
        <w:rPr>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6F8"/>
    <w:multiLevelType w:val="multilevel"/>
    <w:tmpl w:val="856290B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0B6C0E"/>
    <w:multiLevelType w:val="hybridMultilevel"/>
    <w:tmpl w:val="3532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C6682"/>
    <w:multiLevelType w:val="hybridMultilevel"/>
    <w:tmpl w:val="BCE6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D4A8F"/>
    <w:multiLevelType w:val="hybridMultilevel"/>
    <w:tmpl w:val="08A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A0CD4"/>
    <w:multiLevelType w:val="hybridMultilevel"/>
    <w:tmpl w:val="C790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3C4E4E"/>
    <w:multiLevelType w:val="hybridMultilevel"/>
    <w:tmpl w:val="955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21BA4"/>
    <w:multiLevelType w:val="hybridMultilevel"/>
    <w:tmpl w:val="51EC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C67B4"/>
    <w:multiLevelType w:val="hybridMultilevel"/>
    <w:tmpl w:val="610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71B05"/>
    <w:multiLevelType w:val="hybridMultilevel"/>
    <w:tmpl w:val="718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96F49"/>
    <w:multiLevelType w:val="multilevel"/>
    <w:tmpl w:val="856290B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282426"/>
    <w:multiLevelType w:val="hybridMultilevel"/>
    <w:tmpl w:val="14A6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14620"/>
    <w:multiLevelType w:val="hybridMultilevel"/>
    <w:tmpl w:val="F38E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4758FB"/>
    <w:multiLevelType w:val="hybridMultilevel"/>
    <w:tmpl w:val="AAA8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D6F55"/>
    <w:multiLevelType w:val="hybridMultilevel"/>
    <w:tmpl w:val="4B08EB7C"/>
    <w:lvl w:ilvl="0" w:tplc="BA8890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E140B"/>
    <w:multiLevelType w:val="hybridMultilevel"/>
    <w:tmpl w:val="4F6C3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18440F"/>
    <w:multiLevelType w:val="hybridMultilevel"/>
    <w:tmpl w:val="9102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362801"/>
    <w:multiLevelType w:val="hybridMultilevel"/>
    <w:tmpl w:val="D46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249D2"/>
    <w:multiLevelType w:val="hybridMultilevel"/>
    <w:tmpl w:val="5D9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40AC3"/>
    <w:multiLevelType w:val="hybridMultilevel"/>
    <w:tmpl w:val="3E9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505D08"/>
    <w:multiLevelType w:val="hybridMultilevel"/>
    <w:tmpl w:val="689E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32AF6"/>
    <w:multiLevelType w:val="hybridMultilevel"/>
    <w:tmpl w:val="A31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04622"/>
    <w:multiLevelType w:val="hybridMultilevel"/>
    <w:tmpl w:val="9A24C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148D1"/>
    <w:multiLevelType w:val="hybridMultilevel"/>
    <w:tmpl w:val="7ED8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84199B"/>
    <w:multiLevelType w:val="hybridMultilevel"/>
    <w:tmpl w:val="115C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543FE"/>
    <w:multiLevelType w:val="hybridMultilevel"/>
    <w:tmpl w:val="49A0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34D74"/>
    <w:multiLevelType w:val="multilevel"/>
    <w:tmpl w:val="5C00C892"/>
    <w:lvl w:ilvl="0">
      <w:start w:val="5"/>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1473AB3"/>
    <w:multiLevelType w:val="hybridMultilevel"/>
    <w:tmpl w:val="3CAA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607E9"/>
    <w:multiLevelType w:val="hybridMultilevel"/>
    <w:tmpl w:val="29C0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283E6B"/>
    <w:multiLevelType w:val="hybridMultilevel"/>
    <w:tmpl w:val="1802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A684B"/>
    <w:multiLevelType w:val="multilevel"/>
    <w:tmpl w:val="68BA454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B446CDF"/>
    <w:multiLevelType w:val="hybridMultilevel"/>
    <w:tmpl w:val="CA86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4D1A71"/>
    <w:multiLevelType w:val="multilevel"/>
    <w:tmpl w:val="E90AA3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BC2E2E"/>
    <w:multiLevelType w:val="hybridMultilevel"/>
    <w:tmpl w:val="D682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2D2C2A"/>
    <w:multiLevelType w:val="hybridMultilevel"/>
    <w:tmpl w:val="D348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E02EF"/>
    <w:multiLevelType w:val="hybridMultilevel"/>
    <w:tmpl w:val="597E9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19"/>
  </w:num>
  <w:num w:numId="4">
    <w:abstractNumId w:val="1"/>
  </w:num>
  <w:num w:numId="5">
    <w:abstractNumId w:val="23"/>
  </w:num>
  <w:num w:numId="6">
    <w:abstractNumId w:val="13"/>
  </w:num>
  <w:num w:numId="7">
    <w:abstractNumId w:val="22"/>
  </w:num>
  <w:num w:numId="8">
    <w:abstractNumId w:val="21"/>
  </w:num>
  <w:num w:numId="9">
    <w:abstractNumId w:val="31"/>
  </w:num>
  <w:num w:numId="10">
    <w:abstractNumId w:val="3"/>
  </w:num>
  <w:num w:numId="11">
    <w:abstractNumId w:val="0"/>
  </w:num>
  <w:num w:numId="12">
    <w:abstractNumId w:val="6"/>
  </w:num>
  <w:num w:numId="13">
    <w:abstractNumId w:val="9"/>
  </w:num>
  <w:num w:numId="14">
    <w:abstractNumId w:val="25"/>
  </w:num>
  <w:num w:numId="15">
    <w:abstractNumId w:val="14"/>
  </w:num>
  <w:num w:numId="16">
    <w:abstractNumId w:val="5"/>
  </w:num>
  <w:num w:numId="17">
    <w:abstractNumId w:val="20"/>
  </w:num>
  <w:num w:numId="18">
    <w:abstractNumId w:val="4"/>
  </w:num>
  <w:num w:numId="19">
    <w:abstractNumId w:val="30"/>
  </w:num>
  <w:num w:numId="20">
    <w:abstractNumId w:val="2"/>
  </w:num>
  <w:num w:numId="21">
    <w:abstractNumId w:val="32"/>
  </w:num>
  <w:num w:numId="22">
    <w:abstractNumId w:val="34"/>
  </w:num>
  <w:num w:numId="23">
    <w:abstractNumId w:val="15"/>
  </w:num>
  <w:num w:numId="24">
    <w:abstractNumId w:val="18"/>
  </w:num>
  <w:num w:numId="25">
    <w:abstractNumId w:val="11"/>
  </w:num>
  <w:num w:numId="26">
    <w:abstractNumId w:val="12"/>
  </w:num>
  <w:num w:numId="27">
    <w:abstractNumId w:val="29"/>
  </w:num>
  <w:num w:numId="28">
    <w:abstractNumId w:val="26"/>
  </w:num>
  <w:num w:numId="29">
    <w:abstractNumId w:val="7"/>
  </w:num>
  <w:num w:numId="30">
    <w:abstractNumId w:val="17"/>
  </w:num>
  <w:num w:numId="31">
    <w:abstractNumId w:val="24"/>
  </w:num>
  <w:num w:numId="32">
    <w:abstractNumId w:val="27"/>
  </w:num>
  <w:num w:numId="33">
    <w:abstractNumId w:val="28"/>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FE"/>
    <w:rsid w:val="00027B7A"/>
    <w:rsid w:val="000349B6"/>
    <w:rsid w:val="00054C45"/>
    <w:rsid w:val="00056015"/>
    <w:rsid w:val="000603F4"/>
    <w:rsid w:val="00071F3D"/>
    <w:rsid w:val="00072232"/>
    <w:rsid w:val="0008076E"/>
    <w:rsid w:val="0008677E"/>
    <w:rsid w:val="000C536C"/>
    <w:rsid w:val="000C6093"/>
    <w:rsid w:val="000E5FA9"/>
    <w:rsid w:val="000F3C05"/>
    <w:rsid w:val="000F400C"/>
    <w:rsid w:val="000F4F3D"/>
    <w:rsid w:val="00101DFA"/>
    <w:rsid w:val="00137120"/>
    <w:rsid w:val="0017782C"/>
    <w:rsid w:val="001840C9"/>
    <w:rsid w:val="00186CF4"/>
    <w:rsid w:val="001C0242"/>
    <w:rsid w:val="001C22A4"/>
    <w:rsid w:val="001F226C"/>
    <w:rsid w:val="00201C26"/>
    <w:rsid w:val="002171E7"/>
    <w:rsid w:val="00232C30"/>
    <w:rsid w:val="00233356"/>
    <w:rsid w:val="00233A72"/>
    <w:rsid w:val="00261BDF"/>
    <w:rsid w:val="00267F64"/>
    <w:rsid w:val="0027611B"/>
    <w:rsid w:val="00281B4D"/>
    <w:rsid w:val="00282A80"/>
    <w:rsid w:val="002B7347"/>
    <w:rsid w:val="002C042B"/>
    <w:rsid w:val="002C6449"/>
    <w:rsid w:val="002D5C04"/>
    <w:rsid w:val="002E6A95"/>
    <w:rsid w:val="002F69F3"/>
    <w:rsid w:val="002F7182"/>
    <w:rsid w:val="00316B49"/>
    <w:rsid w:val="00322678"/>
    <w:rsid w:val="00322B57"/>
    <w:rsid w:val="003237CE"/>
    <w:rsid w:val="00334AE2"/>
    <w:rsid w:val="0033523C"/>
    <w:rsid w:val="00364B41"/>
    <w:rsid w:val="00365B36"/>
    <w:rsid w:val="003673C3"/>
    <w:rsid w:val="00374BB4"/>
    <w:rsid w:val="00380164"/>
    <w:rsid w:val="00383141"/>
    <w:rsid w:val="00385BCC"/>
    <w:rsid w:val="003B7931"/>
    <w:rsid w:val="003E61CB"/>
    <w:rsid w:val="003F07B8"/>
    <w:rsid w:val="003F4DD8"/>
    <w:rsid w:val="00431AE2"/>
    <w:rsid w:val="0044382D"/>
    <w:rsid w:val="00476DE7"/>
    <w:rsid w:val="00483BF0"/>
    <w:rsid w:val="0049326F"/>
    <w:rsid w:val="004A2C3A"/>
    <w:rsid w:val="004B0E64"/>
    <w:rsid w:val="004B107C"/>
    <w:rsid w:val="004D3123"/>
    <w:rsid w:val="004D4C86"/>
    <w:rsid w:val="004E0321"/>
    <w:rsid w:val="00526F8D"/>
    <w:rsid w:val="00555FBB"/>
    <w:rsid w:val="00573622"/>
    <w:rsid w:val="005754BA"/>
    <w:rsid w:val="00575726"/>
    <w:rsid w:val="00580BCB"/>
    <w:rsid w:val="005A1745"/>
    <w:rsid w:val="005B3C34"/>
    <w:rsid w:val="005C44F3"/>
    <w:rsid w:val="005E31EC"/>
    <w:rsid w:val="005F3A22"/>
    <w:rsid w:val="00603C20"/>
    <w:rsid w:val="00607364"/>
    <w:rsid w:val="00612434"/>
    <w:rsid w:val="00614475"/>
    <w:rsid w:val="00621626"/>
    <w:rsid w:val="006314EF"/>
    <w:rsid w:val="00637B2E"/>
    <w:rsid w:val="00645F99"/>
    <w:rsid w:val="00663751"/>
    <w:rsid w:val="006A13CE"/>
    <w:rsid w:val="006D593F"/>
    <w:rsid w:val="006F1022"/>
    <w:rsid w:val="006F43C8"/>
    <w:rsid w:val="00701E64"/>
    <w:rsid w:val="007049FC"/>
    <w:rsid w:val="00753423"/>
    <w:rsid w:val="007664E4"/>
    <w:rsid w:val="00770789"/>
    <w:rsid w:val="007835E7"/>
    <w:rsid w:val="007903B0"/>
    <w:rsid w:val="007A2222"/>
    <w:rsid w:val="007B5EA7"/>
    <w:rsid w:val="007B736F"/>
    <w:rsid w:val="007C7DFC"/>
    <w:rsid w:val="007D200E"/>
    <w:rsid w:val="007E2600"/>
    <w:rsid w:val="007E7E93"/>
    <w:rsid w:val="00810870"/>
    <w:rsid w:val="00830E11"/>
    <w:rsid w:val="00845B28"/>
    <w:rsid w:val="00845FC0"/>
    <w:rsid w:val="008637D8"/>
    <w:rsid w:val="00881A82"/>
    <w:rsid w:val="00883A69"/>
    <w:rsid w:val="00891765"/>
    <w:rsid w:val="008A6471"/>
    <w:rsid w:val="008A7978"/>
    <w:rsid w:val="008F0895"/>
    <w:rsid w:val="008F4B3E"/>
    <w:rsid w:val="0090156C"/>
    <w:rsid w:val="00904B1C"/>
    <w:rsid w:val="00914FA3"/>
    <w:rsid w:val="00922D7D"/>
    <w:rsid w:val="00933D11"/>
    <w:rsid w:val="00935B5E"/>
    <w:rsid w:val="00952C5B"/>
    <w:rsid w:val="009832CB"/>
    <w:rsid w:val="00995100"/>
    <w:rsid w:val="009A08BD"/>
    <w:rsid w:val="009B2577"/>
    <w:rsid w:val="009B3B26"/>
    <w:rsid w:val="009B3F99"/>
    <w:rsid w:val="009D0458"/>
    <w:rsid w:val="009E6E94"/>
    <w:rsid w:val="009E76FE"/>
    <w:rsid w:val="00A307BC"/>
    <w:rsid w:val="00A669CF"/>
    <w:rsid w:val="00A67133"/>
    <w:rsid w:val="00A74B02"/>
    <w:rsid w:val="00A9592F"/>
    <w:rsid w:val="00AA7283"/>
    <w:rsid w:val="00AC12E0"/>
    <w:rsid w:val="00AE26E2"/>
    <w:rsid w:val="00AE7902"/>
    <w:rsid w:val="00B0074A"/>
    <w:rsid w:val="00B00986"/>
    <w:rsid w:val="00B117E3"/>
    <w:rsid w:val="00B12804"/>
    <w:rsid w:val="00B206A4"/>
    <w:rsid w:val="00B253A0"/>
    <w:rsid w:val="00B32578"/>
    <w:rsid w:val="00B464D8"/>
    <w:rsid w:val="00B54336"/>
    <w:rsid w:val="00B54900"/>
    <w:rsid w:val="00B6359C"/>
    <w:rsid w:val="00B95438"/>
    <w:rsid w:val="00BA36F4"/>
    <w:rsid w:val="00BA3E13"/>
    <w:rsid w:val="00BB029E"/>
    <w:rsid w:val="00BC108A"/>
    <w:rsid w:val="00BF6999"/>
    <w:rsid w:val="00C04F1F"/>
    <w:rsid w:val="00C101DD"/>
    <w:rsid w:val="00C13552"/>
    <w:rsid w:val="00C30FF8"/>
    <w:rsid w:val="00C86BFE"/>
    <w:rsid w:val="00C92E87"/>
    <w:rsid w:val="00C94519"/>
    <w:rsid w:val="00CA4A9C"/>
    <w:rsid w:val="00CB0CCE"/>
    <w:rsid w:val="00CC4B78"/>
    <w:rsid w:val="00CC56DE"/>
    <w:rsid w:val="00CC6CDF"/>
    <w:rsid w:val="00CD4E1B"/>
    <w:rsid w:val="00CD75BF"/>
    <w:rsid w:val="00CF52AF"/>
    <w:rsid w:val="00CF56A5"/>
    <w:rsid w:val="00D11F00"/>
    <w:rsid w:val="00D44295"/>
    <w:rsid w:val="00D54A3E"/>
    <w:rsid w:val="00D56C3E"/>
    <w:rsid w:val="00D6269D"/>
    <w:rsid w:val="00D651E9"/>
    <w:rsid w:val="00D707DE"/>
    <w:rsid w:val="00D7629E"/>
    <w:rsid w:val="00D91BBB"/>
    <w:rsid w:val="00D9696B"/>
    <w:rsid w:val="00DA3FCF"/>
    <w:rsid w:val="00DB3A33"/>
    <w:rsid w:val="00DC01CC"/>
    <w:rsid w:val="00DC2CEF"/>
    <w:rsid w:val="00DC501B"/>
    <w:rsid w:val="00DE01B0"/>
    <w:rsid w:val="00DF35BD"/>
    <w:rsid w:val="00E05222"/>
    <w:rsid w:val="00E06F5A"/>
    <w:rsid w:val="00E14856"/>
    <w:rsid w:val="00E57F32"/>
    <w:rsid w:val="00E74BC4"/>
    <w:rsid w:val="00E80031"/>
    <w:rsid w:val="00EA0302"/>
    <w:rsid w:val="00EA1FEE"/>
    <w:rsid w:val="00EC096B"/>
    <w:rsid w:val="00EC7817"/>
    <w:rsid w:val="00ED336B"/>
    <w:rsid w:val="00ED76CD"/>
    <w:rsid w:val="00EE3A2C"/>
    <w:rsid w:val="00EE6742"/>
    <w:rsid w:val="00EE6D02"/>
    <w:rsid w:val="00EE7653"/>
    <w:rsid w:val="00F15B9C"/>
    <w:rsid w:val="00F23718"/>
    <w:rsid w:val="00F41E94"/>
    <w:rsid w:val="00F43125"/>
    <w:rsid w:val="00F46E49"/>
    <w:rsid w:val="00F47E4E"/>
    <w:rsid w:val="00F5351F"/>
    <w:rsid w:val="00F6192F"/>
    <w:rsid w:val="00F73FB0"/>
    <w:rsid w:val="00F9254D"/>
    <w:rsid w:val="00F96756"/>
    <w:rsid w:val="00FA4684"/>
    <w:rsid w:val="00FB1307"/>
    <w:rsid w:val="00FD216C"/>
    <w:rsid w:val="00FD406D"/>
    <w:rsid w:val="00FE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4F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A22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4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FA9"/>
    <w:rPr>
      <w:rFonts w:ascii="Lucida Grande" w:hAnsi="Lucida Grande" w:cs="Lucida Grande"/>
      <w:sz w:val="18"/>
      <w:szCs w:val="18"/>
      <w:lang w:val="en-GB"/>
    </w:rPr>
  </w:style>
  <w:style w:type="paragraph" w:styleId="ListParagraph">
    <w:name w:val="List Paragraph"/>
    <w:basedOn w:val="Normal"/>
    <w:uiPriority w:val="34"/>
    <w:qFormat/>
    <w:rsid w:val="00C86BFE"/>
    <w:pPr>
      <w:ind w:left="720"/>
      <w:contextualSpacing/>
    </w:pPr>
  </w:style>
  <w:style w:type="paragraph" w:styleId="FootnoteText">
    <w:name w:val="footnote text"/>
    <w:basedOn w:val="Normal"/>
    <w:link w:val="FootnoteTextChar"/>
    <w:uiPriority w:val="99"/>
    <w:unhideWhenUsed/>
    <w:rsid w:val="00232C30"/>
  </w:style>
  <w:style w:type="character" w:customStyle="1" w:styleId="FootnoteTextChar">
    <w:name w:val="Footnote Text Char"/>
    <w:basedOn w:val="DefaultParagraphFont"/>
    <w:link w:val="FootnoteText"/>
    <w:uiPriority w:val="99"/>
    <w:rsid w:val="00232C30"/>
    <w:rPr>
      <w:lang w:val="en-GB"/>
    </w:rPr>
  </w:style>
  <w:style w:type="character" w:styleId="FootnoteReference">
    <w:name w:val="footnote reference"/>
    <w:basedOn w:val="DefaultParagraphFont"/>
    <w:uiPriority w:val="99"/>
    <w:unhideWhenUsed/>
    <w:rsid w:val="00232C30"/>
    <w:rPr>
      <w:vertAlign w:val="superscript"/>
    </w:rPr>
  </w:style>
  <w:style w:type="character" w:styleId="Hyperlink">
    <w:name w:val="Hyperlink"/>
    <w:basedOn w:val="DefaultParagraphFont"/>
    <w:uiPriority w:val="99"/>
    <w:unhideWhenUsed/>
    <w:rsid w:val="00232C30"/>
    <w:rPr>
      <w:color w:val="0000FF" w:themeColor="hyperlink"/>
      <w:u w:val="single"/>
    </w:rPr>
  </w:style>
  <w:style w:type="paragraph" w:styleId="Header">
    <w:name w:val="header"/>
    <w:basedOn w:val="Normal"/>
    <w:link w:val="HeaderChar"/>
    <w:uiPriority w:val="99"/>
    <w:unhideWhenUsed/>
    <w:rsid w:val="00B00986"/>
    <w:pPr>
      <w:tabs>
        <w:tab w:val="center" w:pos="4320"/>
        <w:tab w:val="right" w:pos="8640"/>
      </w:tabs>
    </w:pPr>
  </w:style>
  <w:style w:type="character" w:customStyle="1" w:styleId="HeaderChar">
    <w:name w:val="Header Char"/>
    <w:basedOn w:val="DefaultParagraphFont"/>
    <w:link w:val="Header"/>
    <w:uiPriority w:val="99"/>
    <w:rsid w:val="00B00986"/>
    <w:rPr>
      <w:lang w:val="en-GB"/>
    </w:rPr>
  </w:style>
  <w:style w:type="character" w:customStyle="1" w:styleId="Heading1Char">
    <w:name w:val="Heading 1 Char"/>
    <w:basedOn w:val="DefaultParagraphFont"/>
    <w:link w:val="Heading1"/>
    <w:uiPriority w:val="9"/>
    <w:rsid w:val="007A222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54336"/>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27611B"/>
    <w:pPr>
      <w:tabs>
        <w:tab w:val="center" w:pos="4320"/>
        <w:tab w:val="right" w:pos="8640"/>
      </w:tabs>
    </w:pPr>
  </w:style>
  <w:style w:type="character" w:customStyle="1" w:styleId="FooterChar">
    <w:name w:val="Footer Char"/>
    <w:basedOn w:val="DefaultParagraphFont"/>
    <w:link w:val="Footer"/>
    <w:uiPriority w:val="99"/>
    <w:rsid w:val="0027611B"/>
    <w:rPr>
      <w:lang w:val="en-GB"/>
    </w:rPr>
  </w:style>
  <w:style w:type="character" w:styleId="PageNumber">
    <w:name w:val="page number"/>
    <w:basedOn w:val="DefaultParagraphFont"/>
    <w:uiPriority w:val="99"/>
    <w:semiHidden/>
    <w:unhideWhenUsed/>
    <w:rsid w:val="0027611B"/>
  </w:style>
  <w:style w:type="paragraph" w:styleId="TOC1">
    <w:name w:val="toc 1"/>
    <w:basedOn w:val="Normal"/>
    <w:next w:val="Normal"/>
    <w:autoRedefine/>
    <w:uiPriority w:val="39"/>
    <w:unhideWhenUsed/>
    <w:rsid w:val="005B3C34"/>
    <w:pPr>
      <w:spacing w:before="120"/>
    </w:pPr>
    <w:rPr>
      <w:b/>
    </w:rPr>
  </w:style>
  <w:style w:type="paragraph" w:styleId="TOC2">
    <w:name w:val="toc 2"/>
    <w:basedOn w:val="Normal"/>
    <w:next w:val="Normal"/>
    <w:autoRedefine/>
    <w:uiPriority w:val="39"/>
    <w:unhideWhenUsed/>
    <w:rsid w:val="005B3C34"/>
    <w:pPr>
      <w:ind w:left="240"/>
    </w:pPr>
    <w:rPr>
      <w:b/>
      <w:sz w:val="22"/>
      <w:szCs w:val="22"/>
    </w:rPr>
  </w:style>
  <w:style w:type="paragraph" w:styleId="TOC3">
    <w:name w:val="toc 3"/>
    <w:basedOn w:val="Normal"/>
    <w:next w:val="Normal"/>
    <w:autoRedefine/>
    <w:uiPriority w:val="39"/>
    <w:unhideWhenUsed/>
    <w:rsid w:val="005B3C34"/>
    <w:pPr>
      <w:ind w:left="480"/>
    </w:pPr>
    <w:rPr>
      <w:sz w:val="22"/>
      <w:szCs w:val="22"/>
    </w:rPr>
  </w:style>
  <w:style w:type="paragraph" w:styleId="TOC4">
    <w:name w:val="toc 4"/>
    <w:basedOn w:val="Normal"/>
    <w:next w:val="Normal"/>
    <w:autoRedefine/>
    <w:uiPriority w:val="39"/>
    <w:unhideWhenUsed/>
    <w:rsid w:val="005B3C34"/>
    <w:pPr>
      <w:ind w:left="720"/>
    </w:pPr>
    <w:rPr>
      <w:sz w:val="20"/>
      <w:szCs w:val="20"/>
    </w:rPr>
  </w:style>
  <w:style w:type="paragraph" w:styleId="TOC5">
    <w:name w:val="toc 5"/>
    <w:basedOn w:val="Normal"/>
    <w:next w:val="Normal"/>
    <w:autoRedefine/>
    <w:uiPriority w:val="39"/>
    <w:unhideWhenUsed/>
    <w:rsid w:val="005B3C34"/>
    <w:pPr>
      <w:ind w:left="960"/>
    </w:pPr>
    <w:rPr>
      <w:sz w:val="20"/>
      <w:szCs w:val="20"/>
    </w:rPr>
  </w:style>
  <w:style w:type="paragraph" w:styleId="TOC6">
    <w:name w:val="toc 6"/>
    <w:basedOn w:val="Normal"/>
    <w:next w:val="Normal"/>
    <w:autoRedefine/>
    <w:uiPriority w:val="39"/>
    <w:unhideWhenUsed/>
    <w:rsid w:val="005B3C34"/>
    <w:pPr>
      <w:ind w:left="1200"/>
    </w:pPr>
    <w:rPr>
      <w:sz w:val="20"/>
      <w:szCs w:val="20"/>
    </w:rPr>
  </w:style>
  <w:style w:type="paragraph" w:styleId="TOC7">
    <w:name w:val="toc 7"/>
    <w:basedOn w:val="Normal"/>
    <w:next w:val="Normal"/>
    <w:autoRedefine/>
    <w:uiPriority w:val="39"/>
    <w:unhideWhenUsed/>
    <w:rsid w:val="005B3C34"/>
    <w:pPr>
      <w:ind w:left="1440"/>
    </w:pPr>
    <w:rPr>
      <w:sz w:val="20"/>
      <w:szCs w:val="20"/>
    </w:rPr>
  </w:style>
  <w:style w:type="paragraph" w:styleId="TOC8">
    <w:name w:val="toc 8"/>
    <w:basedOn w:val="Normal"/>
    <w:next w:val="Normal"/>
    <w:autoRedefine/>
    <w:uiPriority w:val="39"/>
    <w:unhideWhenUsed/>
    <w:rsid w:val="005B3C34"/>
    <w:pPr>
      <w:ind w:left="1680"/>
    </w:pPr>
    <w:rPr>
      <w:sz w:val="20"/>
      <w:szCs w:val="20"/>
    </w:rPr>
  </w:style>
  <w:style w:type="paragraph" w:styleId="TOC9">
    <w:name w:val="toc 9"/>
    <w:basedOn w:val="Normal"/>
    <w:next w:val="Normal"/>
    <w:autoRedefine/>
    <w:uiPriority w:val="39"/>
    <w:unhideWhenUsed/>
    <w:rsid w:val="005B3C34"/>
    <w:pPr>
      <w:ind w:left="1920"/>
    </w:pPr>
    <w:rPr>
      <w:sz w:val="20"/>
      <w:szCs w:val="20"/>
    </w:rPr>
  </w:style>
  <w:style w:type="table" w:styleId="TableGrid">
    <w:name w:val="Table Grid"/>
    <w:basedOn w:val="TableNormal"/>
    <w:uiPriority w:val="59"/>
    <w:rsid w:val="0079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A22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4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FA9"/>
    <w:rPr>
      <w:rFonts w:ascii="Lucida Grande" w:hAnsi="Lucida Grande" w:cs="Lucida Grande"/>
      <w:sz w:val="18"/>
      <w:szCs w:val="18"/>
      <w:lang w:val="en-GB"/>
    </w:rPr>
  </w:style>
  <w:style w:type="paragraph" w:styleId="ListParagraph">
    <w:name w:val="List Paragraph"/>
    <w:basedOn w:val="Normal"/>
    <w:uiPriority w:val="34"/>
    <w:qFormat/>
    <w:rsid w:val="00C86BFE"/>
    <w:pPr>
      <w:ind w:left="720"/>
      <w:contextualSpacing/>
    </w:pPr>
  </w:style>
  <w:style w:type="paragraph" w:styleId="FootnoteText">
    <w:name w:val="footnote text"/>
    <w:basedOn w:val="Normal"/>
    <w:link w:val="FootnoteTextChar"/>
    <w:uiPriority w:val="99"/>
    <w:unhideWhenUsed/>
    <w:rsid w:val="00232C30"/>
  </w:style>
  <w:style w:type="character" w:customStyle="1" w:styleId="FootnoteTextChar">
    <w:name w:val="Footnote Text Char"/>
    <w:basedOn w:val="DefaultParagraphFont"/>
    <w:link w:val="FootnoteText"/>
    <w:uiPriority w:val="99"/>
    <w:rsid w:val="00232C30"/>
    <w:rPr>
      <w:lang w:val="en-GB"/>
    </w:rPr>
  </w:style>
  <w:style w:type="character" w:styleId="FootnoteReference">
    <w:name w:val="footnote reference"/>
    <w:basedOn w:val="DefaultParagraphFont"/>
    <w:uiPriority w:val="99"/>
    <w:unhideWhenUsed/>
    <w:rsid w:val="00232C30"/>
    <w:rPr>
      <w:vertAlign w:val="superscript"/>
    </w:rPr>
  </w:style>
  <w:style w:type="character" w:styleId="Hyperlink">
    <w:name w:val="Hyperlink"/>
    <w:basedOn w:val="DefaultParagraphFont"/>
    <w:uiPriority w:val="99"/>
    <w:unhideWhenUsed/>
    <w:rsid w:val="00232C30"/>
    <w:rPr>
      <w:color w:val="0000FF" w:themeColor="hyperlink"/>
      <w:u w:val="single"/>
    </w:rPr>
  </w:style>
  <w:style w:type="paragraph" w:styleId="Header">
    <w:name w:val="header"/>
    <w:basedOn w:val="Normal"/>
    <w:link w:val="HeaderChar"/>
    <w:uiPriority w:val="99"/>
    <w:unhideWhenUsed/>
    <w:rsid w:val="00B00986"/>
    <w:pPr>
      <w:tabs>
        <w:tab w:val="center" w:pos="4320"/>
        <w:tab w:val="right" w:pos="8640"/>
      </w:tabs>
    </w:pPr>
  </w:style>
  <w:style w:type="character" w:customStyle="1" w:styleId="HeaderChar">
    <w:name w:val="Header Char"/>
    <w:basedOn w:val="DefaultParagraphFont"/>
    <w:link w:val="Header"/>
    <w:uiPriority w:val="99"/>
    <w:rsid w:val="00B00986"/>
    <w:rPr>
      <w:lang w:val="en-GB"/>
    </w:rPr>
  </w:style>
  <w:style w:type="character" w:customStyle="1" w:styleId="Heading1Char">
    <w:name w:val="Heading 1 Char"/>
    <w:basedOn w:val="DefaultParagraphFont"/>
    <w:link w:val="Heading1"/>
    <w:uiPriority w:val="9"/>
    <w:rsid w:val="007A222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B54336"/>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27611B"/>
    <w:pPr>
      <w:tabs>
        <w:tab w:val="center" w:pos="4320"/>
        <w:tab w:val="right" w:pos="8640"/>
      </w:tabs>
    </w:pPr>
  </w:style>
  <w:style w:type="character" w:customStyle="1" w:styleId="FooterChar">
    <w:name w:val="Footer Char"/>
    <w:basedOn w:val="DefaultParagraphFont"/>
    <w:link w:val="Footer"/>
    <w:uiPriority w:val="99"/>
    <w:rsid w:val="0027611B"/>
    <w:rPr>
      <w:lang w:val="en-GB"/>
    </w:rPr>
  </w:style>
  <w:style w:type="character" w:styleId="PageNumber">
    <w:name w:val="page number"/>
    <w:basedOn w:val="DefaultParagraphFont"/>
    <w:uiPriority w:val="99"/>
    <w:semiHidden/>
    <w:unhideWhenUsed/>
    <w:rsid w:val="0027611B"/>
  </w:style>
  <w:style w:type="paragraph" w:styleId="TOC1">
    <w:name w:val="toc 1"/>
    <w:basedOn w:val="Normal"/>
    <w:next w:val="Normal"/>
    <w:autoRedefine/>
    <w:uiPriority w:val="39"/>
    <w:unhideWhenUsed/>
    <w:rsid w:val="005B3C34"/>
    <w:pPr>
      <w:spacing w:before="120"/>
    </w:pPr>
    <w:rPr>
      <w:b/>
    </w:rPr>
  </w:style>
  <w:style w:type="paragraph" w:styleId="TOC2">
    <w:name w:val="toc 2"/>
    <w:basedOn w:val="Normal"/>
    <w:next w:val="Normal"/>
    <w:autoRedefine/>
    <w:uiPriority w:val="39"/>
    <w:unhideWhenUsed/>
    <w:rsid w:val="005B3C34"/>
    <w:pPr>
      <w:ind w:left="240"/>
    </w:pPr>
    <w:rPr>
      <w:b/>
      <w:sz w:val="22"/>
      <w:szCs w:val="22"/>
    </w:rPr>
  </w:style>
  <w:style w:type="paragraph" w:styleId="TOC3">
    <w:name w:val="toc 3"/>
    <w:basedOn w:val="Normal"/>
    <w:next w:val="Normal"/>
    <w:autoRedefine/>
    <w:uiPriority w:val="39"/>
    <w:unhideWhenUsed/>
    <w:rsid w:val="005B3C34"/>
    <w:pPr>
      <w:ind w:left="480"/>
    </w:pPr>
    <w:rPr>
      <w:sz w:val="22"/>
      <w:szCs w:val="22"/>
    </w:rPr>
  </w:style>
  <w:style w:type="paragraph" w:styleId="TOC4">
    <w:name w:val="toc 4"/>
    <w:basedOn w:val="Normal"/>
    <w:next w:val="Normal"/>
    <w:autoRedefine/>
    <w:uiPriority w:val="39"/>
    <w:unhideWhenUsed/>
    <w:rsid w:val="005B3C34"/>
    <w:pPr>
      <w:ind w:left="720"/>
    </w:pPr>
    <w:rPr>
      <w:sz w:val="20"/>
      <w:szCs w:val="20"/>
    </w:rPr>
  </w:style>
  <w:style w:type="paragraph" w:styleId="TOC5">
    <w:name w:val="toc 5"/>
    <w:basedOn w:val="Normal"/>
    <w:next w:val="Normal"/>
    <w:autoRedefine/>
    <w:uiPriority w:val="39"/>
    <w:unhideWhenUsed/>
    <w:rsid w:val="005B3C34"/>
    <w:pPr>
      <w:ind w:left="960"/>
    </w:pPr>
    <w:rPr>
      <w:sz w:val="20"/>
      <w:szCs w:val="20"/>
    </w:rPr>
  </w:style>
  <w:style w:type="paragraph" w:styleId="TOC6">
    <w:name w:val="toc 6"/>
    <w:basedOn w:val="Normal"/>
    <w:next w:val="Normal"/>
    <w:autoRedefine/>
    <w:uiPriority w:val="39"/>
    <w:unhideWhenUsed/>
    <w:rsid w:val="005B3C34"/>
    <w:pPr>
      <w:ind w:left="1200"/>
    </w:pPr>
    <w:rPr>
      <w:sz w:val="20"/>
      <w:szCs w:val="20"/>
    </w:rPr>
  </w:style>
  <w:style w:type="paragraph" w:styleId="TOC7">
    <w:name w:val="toc 7"/>
    <w:basedOn w:val="Normal"/>
    <w:next w:val="Normal"/>
    <w:autoRedefine/>
    <w:uiPriority w:val="39"/>
    <w:unhideWhenUsed/>
    <w:rsid w:val="005B3C34"/>
    <w:pPr>
      <w:ind w:left="1440"/>
    </w:pPr>
    <w:rPr>
      <w:sz w:val="20"/>
      <w:szCs w:val="20"/>
    </w:rPr>
  </w:style>
  <w:style w:type="paragraph" w:styleId="TOC8">
    <w:name w:val="toc 8"/>
    <w:basedOn w:val="Normal"/>
    <w:next w:val="Normal"/>
    <w:autoRedefine/>
    <w:uiPriority w:val="39"/>
    <w:unhideWhenUsed/>
    <w:rsid w:val="005B3C34"/>
    <w:pPr>
      <w:ind w:left="1680"/>
    </w:pPr>
    <w:rPr>
      <w:sz w:val="20"/>
      <w:szCs w:val="20"/>
    </w:rPr>
  </w:style>
  <w:style w:type="paragraph" w:styleId="TOC9">
    <w:name w:val="toc 9"/>
    <w:basedOn w:val="Normal"/>
    <w:next w:val="Normal"/>
    <w:autoRedefine/>
    <w:uiPriority w:val="39"/>
    <w:unhideWhenUsed/>
    <w:rsid w:val="005B3C34"/>
    <w:pPr>
      <w:ind w:left="1920"/>
    </w:pPr>
    <w:rPr>
      <w:sz w:val="20"/>
      <w:szCs w:val="20"/>
    </w:rPr>
  </w:style>
  <w:style w:type="table" w:styleId="TableGrid">
    <w:name w:val="Table Grid"/>
    <w:basedOn w:val="TableNormal"/>
    <w:uiPriority w:val="59"/>
    <w:rsid w:val="0079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wa.duminy@uct.ac.z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africanplanningschools.org.za/images/aaps/can-achr_comprehensive_site%20planning_handbook.pdf" TargetMode="External"/><Relationship Id="rId15" Type="http://schemas.openxmlformats.org/officeDocument/2006/relationships/hyperlink" Target="http://huairou.org/sites/default/files/Community%20Mapping%20Handbook.pdf" TargetMode="External"/><Relationship Id="rId16" Type="http://schemas.openxmlformats.org/officeDocument/2006/relationships/hyperlink" Target="http://www.google.com/url?sa=t&amp;rct=j&amp;q=&amp;esrc=s&amp;source=web&amp;cd=1&amp;cad=rja&amp;uact=8&amp;ved=0CB0QFjAA&amp;url=http%3A%2F%2Fwww.wateraid.org%2F~%2Fmedia%2FPublications%2Fcommunity-mapping-programme-partner-guidelines.pdf&amp;ei=ISsHVLugKary7AahrYHoDQ&amp;usg=AFQjCNHAjCYh1KdyMHuOKlAKWh-rOIyOrw&amp;sig2=_zMAmSdj7J3rqSQponw7bQ&amp;bvm=bv.74115972,d.ZGU"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entreforurbaninnovations.org/content/kiandutu-settlement-joint-studio-2014" TargetMode="External"/><Relationship Id="rId4" Type="http://schemas.openxmlformats.org/officeDocument/2006/relationships/hyperlink" Target="http://namibia-shackdwellers.blogspot.com/2013/09/freedom-square-informal-settlement.html" TargetMode="External"/><Relationship Id="rId1" Type="http://schemas.openxmlformats.org/officeDocument/2006/relationships/hyperlink" Target="http://www.sdinet.org" TargetMode="External"/><Relationship Id="rId2" Type="http://schemas.openxmlformats.org/officeDocument/2006/relationships/hyperlink" Target="http://www.africanplanningschools.org.za/images/aaps/malawi_studios_booklet-final_draft-low_re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0CAF-9D55-1E45-AD9B-485926F2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10712</Words>
  <Characters>61064</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Duminy</dc:creator>
  <cp:lastModifiedBy>James Duminy</cp:lastModifiedBy>
  <cp:revision>10</cp:revision>
  <dcterms:created xsi:type="dcterms:W3CDTF">2014-12-10T09:15:00Z</dcterms:created>
  <dcterms:modified xsi:type="dcterms:W3CDTF">2015-02-12T11:32:00Z</dcterms:modified>
</cp:coreProperties>
</file>